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sz w:val="32"/>
          <w:szCs w:val="32"/>
          <w:highlight w:val="none"/>
        </w:rPr>
      </w:pPr>
      <w:bookmarkStart w:id="0" w:name="_GoBack"/>
      <w:bookmarkEnd w:id="0"/>
    </w:p>
    <w:p>
      <w:pPr>
        <w:widowControl/>
        <w:jc w:val="center"/>
        <w:rPr>
          <w:sz w:val="84"/>
          <w:szCs w:val="84"/>
          <w:highlight w:val="none"/>
        </w:rPr>
      </w:pPr>
    </w:p>
    <w:p>
      <w:pPr>
        <w:widowControl/>
        <w:jc w:val="center"/>
        <w:rPr>
          <w:sz w:val="84"/>
          <w:szCs w:val="84"/>
          <w:highlight w:val="none"/>
        </w:rPr>
      </w:pPr>
    </w:p>
    <w:p>
      <w:pPr>
        <w:pStyle w:val="20"/>
        <w:widowControl/>
        <w:spacing w:before="100" w:after="100"/>
        <w:ind w:left="0" w:right="0" w:firstLine="0"/>
        <w:jc w:val="center"/>
        <w:rPr>
          <w:rFonts w:hint="eastAsia" w:ascii="方正小标宋简体" w:hAnsi="方正小标宋简体" w:eastAsia="方正小标宋简体" w:cs="方正小标宋简体"/>
          <w:spacing w:val="0"/>
          <w:kern w:val="0"/>
          <w:sz w:val="84"/>
          <w:szCs w:val="84"/>
          <w:lang w:eastAsia="zh-CN"/>
        </w:rPr>
      </w:pPr>
      <w:r>
        <w:rPr>
          <w:rFonts w:ascii="方正小标宋简体" w:hAnsi="方正小标宋简体" w:eastAsia="方正小标宋简体" w:cs="方正小标宋简体"/>
          <w:spacing w:val="0"/>
          <w:kern w:val="0"/>
          <w:sz w:val="84"/>
          <w:szCs w:val="84"/>
        </w:rPr>
        <w:t>202</w:t>
      </w:r>
      <w:r>
        <w:rPr>
          <w:rFonts w:hint="eastAsia" w:ascii="方正小标宋简体" w:hAnsi="方正小标宋简体" w:eastAsia="方正小标宋简体" w:cs="方正小标宋简体"/>
          <w:spacing w:val="0"/>
          <w:kern w:val="0"/>
          <w:sz w:val="84"/>
          <w:szCs w:val="84"/>
          <w:lang w:val="en-US" w:eastAsia="zh-CN"/>
        </w:rPr>
        <w:t>5</w:t>
      </w:r>
      <w:r>
        <w:rPr>
          <w:rFonts w:ascii="方正小标宋简体" w:hAnsi="方正小标宋简体" w:eastAsia="方正小标宋简体" w:cs="方正小标宋简体"/>
          <w:spacing w:val="0"/>
          <w:kern w:val="0"/>
          <w:sz w:val="84"/>
          <w:szCs w:val="84"/>
        </w:rPr>
        <w:t>年度</w:t>
      </w:r>
    </w:p>
    <w:p>
      <w:pPr>
        <w:pStyle w:val="20"/>
        <w:widowControl/>
        <w:spacing w:before="100" w:after="100"/>
        <w:ind w:left="0" w:right="0" w:firstLine="0"/>
        <w:jc w:val="center"/>
        <w:rPr>
          <w:rFonts w:hint="eastAsia" w:ascii="方正小标宋简体" w:hAnsi="方正小标宋简体" w:eastAsia="方正小标宋简体" w:cs="方正小标宋简体"/>
          <w:spacing w:val="0"/>
          <w:kern w:val="0"/>
          <w:sz w:val="84"/>
          <w:szCs w:val="84"/>
          <w:lang w:eastAsia="zh-CN"/>
        </w:rPr>
      </w:pPr>
      <w:r>
        <w:rPr>
          <w:rFonts w:hint="eastAsia" w:ascii="方正小标宋简体" w:hAnsi="方正小标宋简体" w:eastAsia="方正小标宋简体" w:cs="方正小标宋简体"/>
          <w:spacing w:val="0"/>
          <w:kern w:val="0"/>
          <w:sz w:val="84"/>
          <w:szCs w:val="84"/>
          <w:lang w:eastAsia="zh-CN"/>
        </w:rPr>
        <w:t>福建省自然资源厅</w:t>
      </w:r>
    </w:p>
    <w:p>
      <w:pPr>
        <w:pStyle w:val="20"/>
        <w:widowControl/>
        <w:spacing w:before="100" w:after="100"/>
        <w:ind w:left="0" w:right="0" w:firstLine="0"/>
        <w:jc w:val="center"/>
        <w:rPr>
          <w:rFonts w:ascii="方正小标宋简体" w:hAnsi="方正小标宋简体" w:eastAsia="方正小标宋简体" w:cs="方正小标宋简体"/>
          <w:spacing w:val="0"/>
          <w:kern w:val="0"/>
          <w:sz w:val="84"/>
          <w:szCs w:val="84"/>
        </w:rPr>
      </w:pPr>
      <w:r>
        <w:rPr>
          <w:rFonts w:hint="eastAsia" w:ascii="方正小标宋简体" w:hAnsi="方正小标宋简体" w:eastAsia="方正小标宋简体" w:cs="方正小标宋简体"/>
          <w:spacing w:val="0"/>
          <w:kern w:val="0"/>
          <w:sz w:val="84"/>
          <w:szCs w:val="84"/>
          <w:lang w:eastAsia="zh-CN"/>
        </w:rPr>
        <w:t>（本级）</w:t>
      </w:r>
    </w:p>
    <w:p>
      <w:pPr>
        <w:widowControl/>
        <w:jc w:val="center"/>
        <w:rPr>
          <w:rFonts w:ascii="方正小标宋简体" w:eastAsia="方正小标宋简体"/>
          <w:sz w:val="84"/>
          <w:szCs w:val="84"/>
          <w:highlight w:val="none"/>
        </w:rPr>
      </w:pPr>
      <w:r>
        <w:rPr>
          <w:rFonts w:hint="eastAsia" w:ascii="方正小标宋简体" w:hAnsi="方正小标宋简体" w:eastAsia="方正小标宋简体" w:cs="方正小标宋简体"/>
          <w:spacing w:val="0"/>
          <w:kern w:val="0"/>
          <w:sz w:val="84"/>
          <w:szCs w:val="84"/>
          <w:lang w:eastAsia="zh-CN"/>
        </w:rPr>
        <w:t>单位</w:t>
      </w:r>
      <w:r>
        <w:rPr>
          <w:rFonts w:ascii="方正小标宋简体" w:hAnsi="方正小标宋简体" w:eastAsia="方正小标宋简体" w:cs="方正小标宋简体"/>
          <w:spacing w:val="0"/>
          <w:kern w:val="0"/>
          <w:sz w:val="84"/>
          <w:szCs w:val="84"/>
        </w:rPr>
        <w:t>决算</w:t>
      </w:r>
    </w:p>
    <w:p>
      <w:pPr>
        <w:widowControl/>
        <w:rPr>
          <w:sz w:val="84"/>
          <w:szCs w:val="84"/>
          <w:highlight w:val="none"/>
        </w:rPr>
      </w:pPr>
      <w:r>
        <w:rPr>
          <w:sz w:val="84"/>
          <w:szCs w:val="84"/>
          <w:highlight w:val="none"/>
        </w:rPr>
        <w:br w:type="page"/>
      </w:r>
    </w:p>
    <w:p>
      <w:pPr>
        <w:pStyle w:val="5"/>
        <w:jc w:val="center"/>
        <w:rPr>
          <w:rFonts w:ascii="方正小标宋简体" w:hAnsi="宋体" w:eastAsia="方正小标宋简体"/>
          <w:sz w:val="44"/>
          <w:highlight w:val="none"/>
          <w:lang w:eastAsia="zh-CN"/>
        </w:rPr>
      </w:pPr>
      <w:r>
        <w:rPr>
          <w:rFonts w:hint="eastAsia" w:ascii="方正小标宋简体" w:hAnsi="宋体" w:eastAsia="方正小标宋简体"/>
          <w:sz w:val="44"/>
          <w:highlight w:val="none"/>
          <w:lang w:eastAsia="zh-CN"/>
        </w:rPr>
        <w:t>目</w:t>
      </w:r>
      <w:r>
        <w:rPr>
          <w:rFonts w:ascii="方正小标宋简体" w:hAnsi="宋体" w:eastAsia="方正小标宋简体"/>
          <w:sz w:val="44"/>
          <w:highlight w:val="none"/>
          <w:lang w:eastAsia="zh-CN"/>
        </w:rPr>
        <w:t xml:space="preserve">  </w:t>
      </w:r>
      <w:r>
        <w:rPr>
          <w:rFonts w:hint="eastAsia" w:ascii="方正小标宋简体" w:hAnsi="宋体" w:eastAsia="方正小标宋简体"/>
          <w:sz w:val="44"/>
          <w:highlight w:val="none"/>
          <w:lang w:eastAsia="zh-CN"/>
        </w:rPr>
        <w:t>录</w:t>
      </w:r>
    </w:p>
    <w:p>
      <w:pPr>
        <w:pStyle w:val="5"/>
        <w:rPr>
          <w:rFonts w:ascii="宋体" w:hAnsi="宋体" w:eastAsia="宋体"/>
          <w:sz w:val="36"/>
          <w:highlight w:val="none"/>
          <w:lang w:eastAsia="zh-CN"/>
        </w:rPr>
      </w:pPr>
    </w:p>
    <w:p>
      <w:pPr>
        <w:ind w:firstLine="321"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highlight w:val="none"/>
        </w:rPr>
        <w:t xml:space="preserve">第一部分 </w:t>
      </w:r>
      <w:r>
        <w:rPr>
          <w:rFonts w:hint="eastAsia" w:ascii="仿宋_GB2312" w:hAnsi="仿宋_GB2312" w:eastAsia="仿宋_GB2312" w:cs="仿宋_GB2312"/>
          <w:b/>
          <w:sz w:val="32"/>
          <w:szCs w:val="32"/>
          <w:highlight w:val="none"/>
          <w:lang w:eastAsia="zh-CN"/>
        </w:rPr>
        <w:t>单位</w:t>
      </w:r>
      <w:r>
        <w:rPr>
          <w:rFonts w:hint="eastAsia" w:ascii="仿宋_GB2312" w:hAnsi="仿宋_GB2312" w:eastAsia="仿宋_GB2312" w:cs="仿宋_GB2312"/>
          <w:b/>
          <w:sz w:val="32"/>
          <w:szCs w:val="32"/>
          <w:highlight w:val="none"/>
        </w:rPr>
        <w:t>概况</w:t>
      </w:r>
      <w:r>
        <w:rPr>
          <w:rFonts w:hint="eastAsia" w:ascii="仿宋_GB2312" w:hAnsi="仿宋_GB2312" w:eastAsia="仿宋_GB2312" w:cs="仿宋_GB2312"/>
          <w:b/>
          <w:kern w:val="0"/>
          <w:sz w:val="32"/>
          <w:szCs w:val="32"/>
          <w:highlight w:val="none"/>
          <w:lang w:eastAsia="zh-CN"/>
        </w:rPr>
        <w:t>.</w:t>
      </w:r>
      <w:r>
        <w:rPr>
          <w:rFonts w:hint="eastAsia" w:ascii="仿宋_GB2312" w:hAnsi="仿宋_GB2312" w:eastAsia="仿宋_GB2312" w:cs="仿宋_GB2312"/>
          <w:b/>
          <w:kern w:val="0"/>
          <w:sz w:val="32"/>
          <w:szCs w:val="32"/>
          <w:highlight w:val="none"/>
          <w:lang w:val="en-US" w:eastAsia="zh-CN"/>
        </w:rPr>
        <w:t>...............................</w:t>
      </w:r>
      <w:r>
        <w:rPr>
          <w:rFonts w:hint="eastAsia" w:ascii="仿宋_GB2312" w:hAnsi="仿宋_GB2312" w:eastAsia="仿宋_GB2312" w:cs="仿宋_GB2312"/>
          <w:b/>
          <w:kern w:val="0"/>
          <w:sz w:val="32"/>
          <w:szCs w:val="32"/>
          <w:highlight w:val="none"/>
          <w:lang w:val="en-US" w:eastAsia="zh-CN"/>
        </w:rPr>
        <w:t>1</w:t>
      </w:r>
    </w:p>
    <w:p>
      <w:pPr>
        <w:ind w:firstLine="320"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主要职责</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2</w:t>
      </w:r>
    </w:p>
    <w:p>
      <w:pPr>
        <w:ind w:firstLine="320"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二、单位基本情况</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6</w:t>
      </w:r>
    </w:p>
    <w:p>
      <w:pPr>
        <w:ind w:firstLine="320"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三、</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主要工作总结</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p>
    <w:p>
      <w:pPr>
        <w:ind w:firstLine="321"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highlight w:val="none"/>
        </w:rPr>
        <w:t xml:space="preserve">第二部分 </w:t>
      </w:r>
      <w:r>
        <w:rPr>
          <w:rFonts w:hint="eastAsia" w:ascii="仿宋_GB2312" w:hAnsi="仿宋_GB2312" w:eastAsia="仿宋_GB2312" w:cs="仿宋_GB2312"/>
          <w:b/>
          <w:bCs/>
          <w:sz w:val="32"/>
          <w:szCs w:val="32"/>
          <w:highlight w:val="none"/>
          <w:lang w:eastAsia="zh-CN"/>
        </w:rPr>
        <w:t>2025年度</w:t>
      </w:r>
      <w:r>
        <w:rPr>
          <w:rFonts w:hint="eastAsia" w:ascii="仿宋_GB2312" w:hAnsi="仿宋_GB2312" w:eastAsia="仿宋_GB2312" w:cs="仿宋_GB2312"/>
          <w:b/>
          <w:sz w:val="32"/>
          <w:szCs w:val="32"/>
          <w:highlight w:val="none"/>
          <w:lang w:eastAsia="zh-CN"/>
        </w:rPr>
        <w:t>单位</w:t>
      </w:r>
      <w:r>
        <w:rPr>
          <w:rFonts w:hint="eastAsia" w:ascii="仿宋_GB2312" w:hAnsi="仿宋_GB2312" w:eastAsia="仿宋_GB2312" w:cs="仿宋_GB2312"/>
          <w:b/>
          <w:sz w:val="32"/>
          <w:szCs w:val="32"/>
          <w:highlight w:val="none"/>
        </w:rPr>
        <w:t>决算表</w:t>
      </w:r>
      <w:r>
        <w:rPr>
          <w:rFonts w:hint="eastAsia" w:ascii="仿宋_GB2312" w:hAnsi="仿宋_GB2312" w:eastAsia="仿宋_GB2312" w:cs="仿宋_GB2312"/>
          <w:b/>
          <w:kern w:val="0"/>
          <w:sz w:val="32"/>
          <w:szCs w:val="32"/>
          <w:highlight w:val="none"/>
          <w:lang w:eastAsia="zh-CN"/>
        </w:rPr>
        <w:t>.</w:t>
      </w:r>
      <w:r>
        <w:rPr>
          <w:rFonts w:hint="eastAsia" w:ascii="仿宋_GB2312" w:hAnsi="仿宋_GB2312" w:eastAsia="仿宋_GB2312" w:cs="仿宋_GB2312"/>
          <w:b/>
          <w:kern w:val="0"/>
          <w:sz w:val="32"/>
          <w:szCs w:val="32"/>
          <w:highlight w:val="none"/>
          <w:lang w:val="en-US" w:eastAsia="zh-CN"/>
        </w:rPr>
        <w:t>....................</w:t>
      </w:r>
      <w:r>
        <w:rPr>
          <w:rFonts w:hint="eastAsia" w:ascii="仿宋_GB2312" w:hAnsi="仿宋_GB2312" w:eastAsia="仿宋_GB2312" w:cs="仿宋_GB2312"/>
          <w:b/>
          <w:kern w:val="0"/>
          <w:sz w:val="32"/>
          <w:szCs w:val="32"/>
          <w:highlight w:val="none"/>
          <w:lang w:val="en-US" w:eastAsia="zh-CN"/>
        </w:rPr>
        <w:t>1</w:t>
      </w:r>
      <w:r>
        <w:rPr>
          <w:rFonts w:hint="eastAsia" w:ascii="仿宋_GB2312" w:hAnsi="仿宋_GB2312" w:eastAsia="仿宋_GB2312" w:cs="仿宋_GB2312"/>
          <w:b/>
          <w:kern w:val="0"/>
          <w:sz w:val="32"/>
          <w:szCs w:val="32"/>
          <w:highlight w:val="none"/>
          <w:lang w:val="en-US" w:eastAsia="zh-CN"/>
        </w:rPr>
        <w:t>0</w:t>
      </w:r>
    </w:p>
    <w:p>
      <w:pPr>
        <w:ind w:firstLine="320"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一、收入支出决算总表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en-US" w:eastAsia="zh-CN"/>
        </w:rPr>
        <w:t>1</w:t>
      </w:r>
    </w:p>
    <w:p>
      <w:pPr>
        <w:ind w:firstLine="320"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二、收入决算表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en-US" w:eastAsia="zh-CN"/>
        </w:rPr>
        <w:t>3</w:t>
      </w:r>
    </w:p>
    <w:p>
      <w:pPr>
        <w:ind w:firstLine="320"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三、支出决算表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en-US" w:eastAsia="zh-CN"/>
        </w:rPr>
        <w:t>5</w:t>
      </w:r>
    </w:p>
    <w:p>
      <w:pPr>
        <w:ind w:firstLine="320"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四、财政拨款收入支出决算总表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....................17</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五、一般公共预算财政拨款支出决算表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..............19</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六、</w:t>
      </w:r>
      <w:r>
        <w:rPr>
          <w:rFonts w:hint="eastAsia" w:ascii="仿宋_GB2312" w:hAnsi="仿宋_GB2312" w:eastAsia="仿宋_GB2312" w:cs="仿宋_GB2312"/>
          <w:spacing w:val="-14"/>
          <w:sz w:val="32"/>
          <w:szCs w:val="32"/>
          <w:highlight w:val="none"/>
        </w:rPr>
        <w:t>一般公共预算财政拨款基本支出决算表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.............21</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七、一般公共预算财政拨款“三公”经费支出决算表</w:t>
      </w:r>
      <w:r>
        <w:rPr>
          <w:rFonts w:hint="eastAsia" w:ascii="仿宋_GB2312" w:hAnsi="仿宋_GB2312" w:eastAsia="仿宋_GB2312" w:cs="仿宋_GB2312"/>
          <w:sz w:val="32"/>
          <w:szCs w:val="32"/>
          <w:highlight w:val="none"/>
          <w:lang w:val="en-US" w:eastAsia="zh-CN"/>
        </w:rPr>
        <w:t>...24</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八、政府性基金预算财政拨款收入支出决算表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........25</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九、</w:t>
      </w:r>
      <w:r>
        <w:rPr>
          <w:rFonts w:hint="eastAsia" w:ascii="仿宋_GB2312" w:hAnsi="仿宋_GB2312" w:eastAsia="仿宋_GB2312" w:cs="仿宋_GB2312"/>
          <w:spacing w:val="-14"/>
          <w:sz w:val="32"/>
          <w:szCs w:val="32"/>
          <w:highlight w:val="none"/>
        </w:rPr>
        <w:t>国有资本经营预算财政拨款支出决算表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.............26</w:t>
      </w:r>
    </w:p>
    <w:p>
      <w:pPr>
        <w:ind w:firstLine="321"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highlight w:val="none"/>
        </w:rPr>
        <w:t xml:space="preserve">第三部分 </w:t>
      </w:r>
      <w:r>
        <w:rPr>
          <w:rFonts w:hint="eastAsia" w:ascii="仿宋_GB2312" w:hAnsi="仿宋_GB2312" w:eastAsia="仿宋_GB2312" w:cs="仿宋_GB2312"/>
          <w:b/>
          <w:bCs/>
          <w:sz w:val="32"/>
          <w:szCs w:val="32"/>
          <w:highlight w:val="none"/>
          <w:lang w:eastAsia="zh-CN"/>
        </w:rPr>
        <w:t>2025年度</w:t>
      </w:r>
      <w:r>
        <w:rPr>
          <w:rFonts w:hint="eastAsia" w:ascii="仿宋_GB2312" w:hAnsi="仿宋_GB2312" w:eastAsia="仿宋_GB2312" w:cs="仿宋_GB2312"/>
          <w:b/>
          <w:sz w:val="32"/>
          <w:szCs w:val="32"/>
          <w:highlight w:val="none"/>
          <w:lang w:eastAsia="zh-CN"/>
        </w:rPr>
        <w:t>单位</w:t>
      </w:r>
      <w:r>
        <w:rPr>
          <w:rFonts w:hint="eastAsia" w:ascii="仿宋_GB2312" w:hAnsi="仿宋_GB2312" w:eastAsia="仿宋_GB2312" w:cs="仿宋_GB2312"/>
          <w:b/>
          <w:sz w:val="32"/>
          <w:szCs w:val="32"/>
          <w:highlight w:val="none"/>
        </w:rPr>
        <w:t>决算情况说明</w:t>
      </w:r>
      <w:r>
        <w:rPr>
          <w:rFonts w:hint="eastAsia" w:ascii="仿宋_GB2312" w:hAnsi="仿宋_GB2312" w:eastAsia="仿宋_GB2312" w:cs="仿宋_GB2312"/>
          <w:b/>
          <w:kern w:val="0"/>
          <w:sz w:val="32"/>
          <w:szCs w:val="32"/>
          <w:highlight w:val="none"/>
          <w:lang w:eastAsia="zh-CN"/>
        </w:rPr>
        <w:t>.</w:t>
      </w:r>
      <w:r>
        <w:rPr>
          <w:rFonts w:hint="eastAsia" w:ascii="仿宋_GB2312" w:hAnsi="仿宋_GB2312" w:eastAsia="仿宋_GB2312" w:cs="仿宋_GB2312"/>
          <w:b/>
          <w:kern w:val="0"/>
          <w:sz w:val="32"/>
          <w:szCs w:val="32"/>
          <w:highlight w:val="none"/>
          <w:lang w:val="en-US" w:eastAsia="zh-CN"/>
        </w:rPr>
        <w:t>..............27</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一、收入支出决算总体情况说明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....................28</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二、财政拨款收入支出决算总体情况说明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............29</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三、一般公共预算财政拨款支出决算情况说明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........29</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四、政府性基金预算财政拨款支出决算情况说明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......31</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五、国有资本经营预算财政拨款支出决算情况说明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.....32</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六、一般公共预算财政拨款基本支出决算情况说明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.....32</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七、</w:t>
      </w:r>
      <w:r>
        <w:rPr>
          <w:rFonts w:hint="eastAsia" w:ascii="仿宋_GB2312" w:hAnsi="仿宋_GB2312" w:eastAsia="仿宋_GB2312" w:cs="仿宋_GB2312"/>
          <w:spacing w:val="-11"/>
          <w:sz w:val="32"/>
          <w:szCs w:val="32"/>
          <w:highlight w:val="none"/>
        </w:rPr>
        <w:t>一般公共预算财政拨款“三公”经费支出决算情况说明</w:t>
      </w:r>
      <w:r>
        <w:rPr>
          <w:rFonts w:hint="eastAsia"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lang w:val="en-US" w:eastAsia="zh-CN"/>
        </w:rPr>
        <w:t>2</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八、预算绩效情况说明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.............................33</w:t>
      </w:r>
    </w:p>
    <w:p>
      <w:pPr>
        <w:ind w:firstLine="320"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九、其他重要事项情况说明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.........................34</w:t>
      </w:r>
    </w:p>
    <w:p>
      <w:pPr>
        <w:ind w:firstLine="321" w:firstLineChars="100"/>
        <w:jc w:val="lef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highlight w:val="none"/>
        </w:rPr>
        <w:t>第四部分 名词解释</w:t>
      </w:r>
      <w:r>
        <w:rPr>
          <w:rFonts w:hint="eastAsia" w:ascii="仿宋_GB2312" w:hAnsi="仿宋_GB2312" w:eastAsia="仿宋_GB2312" w:cs="仿宋_GB2312"/>
          <w:b/>
          <w:kern w:val="0"/>
          <w:sz w:val="32"/>
          <w:szCs w:val="32"/>
          <w:highlight w:val="none"/>
          <w:lang w:eastAsia="zh-CN"/>
        </w:rPr>
        <w:t>.</w:t>
      </w:r>
      <w:r>
        <w:rPr>
          <w:rFonts w:hint="eastAsia" w:ascii="仿宋_GB2312" w:hAnsi="仿宋_GB2312" w:eastAsia="仿宋_GB2312" w:cs="仿宋_GB2312"/>
          <w:b/>
          <w:kern w:val="0"/>
          <w:sz w:val="32"/>
          <w:szCs w:val="32"/>
          <w:highlight w:val="none"/>
          <w:lang w:val="en-US" w:eastAsia="zh-CN"/>
        </w:rPr>
        <w:t>...............................35</w:t>
      </w:r>
    </w:p>
    <w:p>
      <w:pPr>
        <w:ind w:firstLine="321"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highlight w:val="none"/>
        </w:rPr>
        <w:t>第五部分 附件</w:t>
      </w:r>
      <w:r>
        <w:rPr>
          <w:rFonts w:hint="eastAsia" w:ascii="仿宋_GB2312" w:hAnsi="仿宋_GB2312" w:eastAsia="仿宋_GB2312" w:cs="仿宋_GB2312"/>
          <w:b/>
          <w:kern w:val="0"/>
          <w:sz w:val="32"/>
          <w:szCs w:val="32"/>
          <w:highlight w:val="none"/>
          <w:lang w:eastAsia="zh-CN"/>
        </w:rPr>
        <w:t>.</w:t>
      </w:r>
      <w:r>
        <w:rPr>
          <w:rFonts w:hint="eastAsia" w:ascii="仿宋_GB2312" w:hAnsi="仿宋_GB2312" w:eastAsia="仿宋_GB2312" w:cs="仿宋_GB2312"/>
          <w:b/>
          <w:kern w:val="0"/>
          <w:sz w:val="32"/>
          <w:szCs w:val="32"/>
          <w:highlight w:val="none"/>
          <w:lang w:val="en-US" w:eastAsia="zh-CN"/>
        </w:rPr>
        <w:t>...................................38</w:t>
      </w:r>
    </w:p>
    <w:p>
      <w:pPr>
        <w:ind w:firstLine="320" w:firstLineChars="100"/>
        <w:jc w:val="left"/>
        <w:rPr>
          <w:rFonts w:hint="eastAsia" w:ascii="仿宋_GB2312" w:hAnsi="仿宋_GB2312" w:eastAsia="仿宋_GB2312" w:cs="仿宋_GB2312"/>
          <w:sz w:val="32"/>
          <w:szCs w:val="32"/>
          <w:highlight w:val="none"/>
        </w:rPr>
      </w:pPr>
    </w:p>
    <w:p>
      <w:pPr>
        <w:jc w:val="left"/>
        <w:rPr>
          <w:rFonts w:hint="eastAsia" w:ascii="仿宋_GB2312" w:hAnsi="仿宋_GB2312" w:eastAsia="仿宋_GB2312" w:cs="仿宋_GB2312"/>
          <w:sz w:val="32"/>
          <w:szCs w:val="32"/>
          <w:highlight w:val="none"/>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sectPr>
          <w:headerReference r:id="rId3" w:type="default"/>
          <w:headerReference r:id="rId4" w:type="even"/>
          <w:footerReference r:id="rId5" w:type="even"/>
          <w:pgSz w:w="11906" w:h="16838"/>
          <w:pgMar w:top="1701" w:right="1531" w:bottom="1701" w:left="1531" w:header="851" w:footer="992" w:gutter="0"/>
          <w:pgBorders>
            <w:top w:val="none" w:sz="0" w:space="0"/>
            <w:left w:val="none" w:sz="0" w:space="0"/>
            <w:bottom w:val="none" w:sz="0" w:space="0"/>
            <w:right w:val="none" w:sz="0" w:space="0"/>
          </w:pgBorders>
          <w:pgNumType w:start="1"/>
          <w:cols w:space="0" w:num="1"/>
          <w:rtlGutter w:val="0"/>
          <w:docGrid w:type="lines" w:linePitch="312" w:charSpace="0"/>
        </w:sectPr>
      </w:pPr>
    </w:p>
    <w:p>
      <w:pPr>
        <w:pStyle w:val="4"/>
        <w:rPr>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rPr>
          <w:rFonts w:ascii="黑体" w:hAnsi="黑体" w:eastAsia="黑体"/>
          <w:sz w:val="56"/>
          <w:szCs w:val="36"/>
          <w:highlight w:val="none"/>
          <w:lang w:eastAsia="zh-CN"/>
        </w:rPr>
      </w:pPr>
      <w:r>
        <w:rPr>
          <w:rFonts w:hint="eastAsia" w:ascii="黑体" w:hAnsi="黑体" w:eastAsia="黑体"/>
          <w:sz w:val="56"/>
          <w:szCs w:val="36"/>
          <w:highlight w:val="none"/>
          <w:lang w:eastAsia="zh-CN"/>
        </w:rPr>
        <w:t>第一部分</w:t>
      </w:r>
    </w:p>
    <w:p>
      <w:pPr>
        <w:pStyle w:val="5"/>
        <w:jc w:val="center"/>
        <w:rPr>
          <w:rFonts w:ascii="黑体" w:hAnsi="黑体" w:eastAsia="黑体"/>
          <w:sz w:val="56"/>
          <w:szCs w:val="36"/>
          <w:highlight w:val="none"/>
          <w:lang w:eastAsia="zh-CN"/>
        </w:rPr>
      </w:pPr>
      <w:r>
        <w:rPr>
          <w:rFonts w:hint="eastAsia" w:ascii="黑体" w:hAnsi="黑体" w:eastAsia="黑体"/>
          <w:sz w:val="56"/>
          <w:szCs w:val="36"/>
          <w:highlight w:val="none"/>
          <w:lang w:eastAsia="zh-CN"/>
        </w:rPr>
        <w:t>单位概况</w:t>
      </w:r>
    </w:p>
    <w:p>
      <w:pPr>
        <w:jc w:val="center"/>
        <w:rPr>
          <w:rFonts w:ascii="黑体" w:hAnsi="黑体" w:eastAsia="黑体"/>
          <w:sz w:val="36"/>
          <w:szCs w:val="36"/>
          <w:highlight w:val="none"/>
        </w:rPr>
      </w:pPr>
    </w:p>
    <w:p>
      <w:pPr>
        <w:widowControl/>
        <w:spacing w:line="240" w:lineRule="auto"/>
        <w:jc w:val="left"/>
        <w:rPr>
          <w:rFonts w:ascii="黑体" w:hAnsi="黑体" w:eastAsia="黑体"/>
          <w:sz w:val="32"/>
          <w:szCs w:val="32"/>
          <w:highlight w:val="none"/>
        </w:rPr>
      </w:pPr>
      <w:r>
        <w:rPr>
          <w:rFonts w:ascii="黑体" w:hAnsi="黑体" w:eastAsia="黑体"/>
          <w:sz w:val="32"/>
          <w:szCs w:val="32"/>
          <w:highlight w:val="none"/>
        </w:rPr>
        <w:br w:type="page"/>
      </w:r>
    </w:p>
    <w:p>
      <w:pPr>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一、</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主要职责</w:t>
      </w:r>
    </w:p>
    <w:p>
      <w:pPr>
        <w:pStyle w:val="5"/>
        <w:keepNext w:val="0"/>
        <w:keepLines w:val="0"/>
        <w:pageBreakBefore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福建省自然资源厅贯彻落实党中央及省委关于自然资源工作的方针政策和决策部署，在履行职责过程中坚持和加强党对自然资源工作的集中统一领导。主要职责是:</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（一）</w:t>
      </w:r>
      <w:r>
        <w:rPr>
          <w:rFonts w:hint="eastAsia" w:ascii="仿宋_GB2312" w:hAnsi="仿宋_GB2312" w:eastAsia="仿宋_GB2312" w:cs="仿宋_GB2312"/>
          <w:color w:val="000000"/>
          <w:sz w:val="32"/>
          <w:szCs w:val="32"/>
          <w:highlight w:val="none"/>
          <w:lang w:eastAsia="zh-CN"/>
        </w:rPr>
        <w:t>根据授权，履行全民所有土地、矿产、森林、草原、湿地、水、海洋等自然资源资产所有者职责。履行所有国土空间用途管制职责。组织贯彻执行国家自然资源和国土空间规划及测绘等法律、法规，起草并组织实施自然资源和国土空间规划及测绘等地方性法规、规章。</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二</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自然资源调查监测评价。贯彻执行自然资源调查监测评价的指标体系和统计标准，落实统一规范的自然资源调查监测评价制度。实施自然资源基础调查、专项调查和监测。负责自然资源调查监测评价成果的监督管理和信息发布。指导全省自然资源调查监测评价工作。</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三</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自然资源和不动产统一确权登记工作。负责制定并组织落实全省各类自然资源和不动产统一确权登记、权籍调查、不动产测绘、争议调处和成果应用的制度规范。建立健全全省自然资源和不动产登记信息管理基础平台。负责自然资源和不动产登记资料收集、整理、共享、汇交管理等。</w:t>
      </w:r>
    </w:p>
    <w:p>
      <w:pPr>
        <w:pStyle w:val="5"/>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四</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自然资源资产有偿使用工作。组织开展全民所有自然资源资产统计和资产核算，编制全民所有自然资源资产负债表。开展全民所有自然资源资产考核工作。组织指导监督开展全民所有自然资源资产划拨、出让、租赁、作价出资和土地储备相关工作。负责自然资源资产价值评估管理，依法收缴自然资源资产收益。落实全民所有自然资源资产报告制度，承担省政府向省人大报告全民所有自然资源资产报告的起草工作。</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五</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自然资源的合理开发利用。组织拟订全省自然资源发展规划，组织研究自然资源管理涉及宏观调控、区域协调、城乡统筹和脱贫攻坚等方面的政策措施。组织指导监督全省实施自然资源开发利用标准，建立政府公示自然资源价格体系。组织开展自然资源分等定级价格评估和利用评价考核，落实节约集约利用。负责自然资源市场动态监测监管。</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六</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建立空间规划体系并监督实施。贯彻落实主体功能区战略和制度，组织编制并监督实施国土空间规划和相关专项规划。组织开展国土空间开发适宜性评价，建立国土空间规划实施监测、评估和预警体系。组织划定全省生态保护红线、永久基本农田、城镇开发边界、海洋空间保护开发等控制线，构建节约资源和保护环境的生产、生活、生态空间布局。组织实施国土空间用途管制制度和城乡规划政策，指导、监督全省有关城乡规划领域违法建设处置工作。组织拟订并实施全省土地、海洋等自然资源年度利用计划。负责报国务院、省政府审批的土地、海域、海岛等国土空间用途转用事项的审查、审核、报批工作。负责土地征收征用管理。</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七</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统筹国土空间生态修复。牵头组织编制国土空间生态修复规划并实施有关生态修复工程。组织开展国土空间综合整治、土地整理复垦、矿山地质环境恢复治理、海洋生态、海域海岸线和海岛修复等工作。落实有关生态保护补偿制度并监督实施，按规定落实合理利用社会资金进行生态修复相关政策措施，提出我省重大备选项目。按规定承担生态环境保护相关职责。</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八</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组织实施最严格的耕地保护制度。牵头拟订和实施耕地保护政策，负责全省耕地数量、质量、生态保护。组织实施耕地保护责任目标考核和永久基本农田特殊保护。落实耕地占补平衡制度，监督占用耕地补偿制度执行情况。</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九</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管理地质勘查行业和地质工作。组织编制地质勘查规划并监督检查执行情况。管理省级地质勘查项目，组织实施省级重大地质矿产勘查专项。承担全省广义地质工作，依法管理水文地质、工程地质、环境地质、城市地质、农业地质、旅游地质的调查、评价工作。</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十</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落实综合防灾减灾规划相关要求，组织编制地质灾害防治规划和防护标准并指导实施。负责地质灾害预防和治理，监督管理地下水过量开采及引发的地面沉降等地质问题。组织指导协调和监督全省地质灾害调查评价及隐患的普查、详查、排查。指导开展群测群防、专业监测和预报预警等工作，指导开展地质灾害工程治理工作。配合做好地质灾害应急救援相关工作，承担地质灾害应急救援的技术支撑工作。</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十一</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负责矿产资源管理工作。依法负责矿产资源储量管理及压覆矿产资源审批。负责矿业权管理。会同有关部门承担保护性开采的特定矿种、优势矿产的调控及相关管理工作。监督指导矿产资源合理利用和保护工作。</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十二</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拟订全省海洋功能区划、海域开发利用总体规划、无居民海岛保护规划并组织实施。负责海洋开发利用和保护的监督管理。负责全省海域使用和海岛保护利用管理。负责全省无居民海岛、海域、海底地形地名管理相关工作，依法实施领海基点等特殊用途海岛保护管理。</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十三</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测绘地理信息管理工作。负责基础测绘和测绘行业管理。负责测绘基准、测绘标准、测绘成果质量的监督管理。负责测量标志保护。负责测绘资质资格与信用管理，监督管理全省地理信息安全和市场秩序。负责地理信息公共服务管理。负责地图管理。</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十四</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推动自然资源领域科技发展。制定并实施全省自然资源领域科技创新发展和人才培养规划和计划。组织拟订自然资源领域有关技术标准、规程规范，实施重大科技工程及创新能力建设。组织开展自然资源领域信息化工作，推进高新技术在自然资源领域的应用。</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十五</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组织开展自然资源领域对外交流合作。根据授权开展相关海洋权益维护工作，按要求参与资源开发争议、岛屿争端、海域划界等谈判与磋商。</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十六</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监督检查自然资源和国土空间规划及测绘法律法规执行情况。组织查处自然资源和国土空间规划及测绘重大违法案件。指导全省自然资源和国土空间规划及测绘行政执法工作。</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十七</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负责本系统、本领域人才队伍建设。</w:t>
      </w:r>
    </w:p>
    <w:p>
      <w:pPr>
        <w:pStyle w:val="5"/>
        <w:keepNext w:val="0"/>
        <w:keepLines w:val="0"/>
        <w:pageBreakBefore w:val="0"/>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楷体_GB2312" w:hAnsi="楷体_GB2312" w:eastAsia="楷体_GB2312" w:cs="楷体_GB2312"/>
          <w:b/>
          <w:bCs/>
          <w:color w:val="000000"/>
          <w:sz w:val="32"/>
          <w:szCs w:val="32"/>
          <w:highlight w:val="none"/>
          <w:lang w:eastAsia="zh-CN"/>
        </w:rPr>
        <w:t>（</w:t>
      </w:r>
      <w:r>
        <w:rPr>
          <w:rFonts w:hint="eastAsia" w:ascii="楷体_GB2312" w:hAnsi="楷体_GB2312" w:eastAsia="楷体_GB2312" w:cs="楷体_GB2312"/>
          <w:b/>
          <w:bCs/>
          <w:color w:val="000000"/>
          <w:sz w:val="32"/>
          <w:szCs w:val="32"/>
          <w:highlight w:val="none"/>
          <w:lang w:eastAsia="zh-CN"/>
        </w:rPr>
        <w:t>十八</w:t>
      </w:r>
      <w:r>
        <w:rPr>
          <w:rFonts w:hint="eastAsia" w:ascii="楷体_GB2312" w:hAnsi="楷体_GB2312" w:eastAsia="楷体_GB2312" w:cs="楷体_GB2312"/>
          <w:b/>
          <w:bCs/>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统一领导和管理省林业局，具体按照中央及省委和省政府的有关规定办理。</w:t>
      </w:r>
    </w:p>
    <w:p>
      <w:pPr>
        <w:spacing w:line="600" w:lineRule="exact"/>
        <w:ind w:firstLine="643" w:firstLineChars="200"/>
        <w:rPr>
          <w:rFonts w:ascii="仿宋" w:hAnsi="仿宋" w:eastAsia="仿宋"/>
          <w:sz w:val="32"/>
          <w:szCs w:val="32"/>
          <w:highlight w:val="none"/>
        </w:rPr>
      </w:pPr>
      <w:r>
        <w:rPr>
          <w:rFonts w:hint="eastAsia" w:ascii="楷体_GB2312" w:hAnsi="楷体_GB2312" w:eastAsia="楷体_GB2312" w:cs="楷体_GB2312"/>
          <w:b/>
          <w:bCs/>
          <w:color w:val="000000"/>
          <w:kern w:val="0"/>
          <w:sz w:val="32"/>
          <w:szCs w:val="32"/>
          <w:highlight w:val="none"/>
          <w:lang w:eastAsia="zh-CN"/>
        </w:rPr>
        <w:t>（</w:t>
      </w:r>
      <w:r>
        <w:rPr>
          <w:rFonts w:hint="eastAsia" w:ascii="楷体_GB2312" w:hAnsi="楷体_GB2312" w:eastAsia="楷体_GB2312" w:cs="楷体_GB2312"/>
          <w:b/>
          <w:bCs/>
          <w:color w:val="000000"/>
          <w:kern w:val="0"/>
          <w:sz w:val="32"/>
          <w:szCs w:val="32"/>
          <w:highlight w:val="none"/>
          <w:lang w:eastAsia="zh-CN"/>
        </w:rPr>
        <w:t>十九</w:t>
      </w:r>
      <w:r>
        <w:rPr>
          <w:rFonts w:hint="eastAsia" w:ascii="楷体_GB2312" w:hAnsi="楷体_GB2312" w:eastAsia="楷体_GB2312" w:cs="楷体_GB2312"/>
          <w:b/>
          <w:bCs/>
          <w:color w:val="000000"/>
          <w:kern w:val="0"/>
          <w:sz w:val="32"/>
          <w:szCs w:val="32"/>
          <w:highlight w:val="none"/>
          <w:lang w:eastAsia="zh-CN"/>
        </w:rPr>
        <w:t>）</w:t>
      </w:r>
      <w:r>
        <w:rPr>
          <w:rFonts w:hint="eastAsia" w:ascii="仿宋_GB2312" w:hAnsi="仿宋_GB2312" w:eastAsia="仿宋_GB2312" w:cs="仿宋_GB2312"/>
          <w:color w:val="000000"/>
          <w:sz w:val="32"/>
          <w:szCs w:val="32"/>
          <w:highlight w:val="none"/>
          <w:lang w:eastAsia="zh-CN"/>
        </w:rPr>
        <w:t>完成省委和省政府交办的其他任务。</w:t>
      </w:r>
    </w:p>
    <w:p>
      <w:pPr>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二、单位基本情况</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ascii="仿宋" w:hAnsi="仿宋" w:eastAsia="仿宋" w:cs="Times New Roman"/>
          <w:sz w:val="32"/>
          <w:szCs w:val="32"/>
          <w:highlight w:val="none"/>
        </w:rPr>
      </w:pPr>
      <w:r>
        <w:rPr>
          <w:rFonts w:ascii="仿宋_GB2312" w:hAnsi="宋体" w:eastAsia="仿宋_GB2312" w:cs="仿宋_GB2312"/>
          <w:color w:val="000000"/>
          <w:kern w:val="0"/>
          <w:sz w:val="32"/>
          <w:szCs w:val="32"/>
          <w:lang w:val="en-US" w:eastAsia="zh-CN" w:bidi="ar"/>
        </w:rPr>
        <w:t>福建省自然资源厅是省政府组成部门，为正厅级。从决算单</w:t>
      </w:r>
      <w:r>
        <w:rPr>
          <w:rFonts w:hint="eastAsia" w:ascii="仿宋_GB2312" w:hAnsi="宋体" w:eastAsia="仿宋_GB2312" w:cs="仿宋_GB2312"/>
          <w:color w:val="000000"/>
          <w:kern w:val="0"/>
          <w:sz w:val="32"/>
          <w:szCs w:val="32"/>
          <w:lang w:val="en-US" w:eastAsia="zh-CN" w:bidi="ar"/>
        </w:rPr>
        <w:t>位构成看，省自然资源厅（本级）包括 24 个机关行政处室。</w:t>
      </w:r>
      <w:r>
        <w:rPr>
          <w:rFonts w:hint="eastAsia" w:ascii="仿宋_GB2312" w:hAnsi="仿宋_GB2312" w:eastAsia="仿宋_GB2312" w:cs="仿宋_GB2312"/>
          <w:spacing w:val="0"/>
          <w:kern w:val="0"/>
          <w:sz w:val="32"/>
          <w:szCs w:val="32"/>
        </w:rPr>
        <w:t>列入</w:t>
      </w:r>
      <w:r>
        <w:rPr>
          <w:rFonts w:hint="eastAsia" w:ascii="仿宋_GB2312" w:hAnsi="仿宋_GB2312" w:eastAsia="仿宋_GB2312" w:cs="仿宋_GB2312"/>
          <w:spacing w:val="0"/>
          <w:kern w:val="0"/>
          <w:sz w:val="32"/>
          <w:szCs w:val="32"/>
          <w:lang w:val="en-US" w:eastAsia="zh-CN"/>
        </w:rPr>
        <w:t>2025</w:t>
      </w:r>
      <w:r>
        <w:rPr>
          <w:rFonts w:hint="eastAsia" w:ascii="仿宋_GB2312" w:hAnsi="仿宋_GB2312" w:eastAsia="仿宋_GB2312" w:cs="仿宋_GB2312"/>
          <w:spacing w:val="0"/>
          <w:kern w:val="0"/>
          <w:sz w:val="32"/>
          <w:szCs w:val="32"/>
        </w:rPr>
        <w:t>年</w:t>
      </w:r>
      <w:r>
        <w:rPr>
          <w:rFonts w:hint="eastAsia" w:ascii="仿宋_GB2312" w:hAnsi="仿宋_GB2312" w:eastAsia="仿宋_GB2312" w:cs="仿宋_GB2312"/>
          <w:spacing w:val="0"/>
          <w:kern w:val="0"/>
          <w:sz w:val="32"/>
          <w:szCs w:val="32"/>
          <w:lang w:eastAsia="zh-CN"/>
        </w:rPr>
        <w:t>单位</w:t>
      </w:r>
      <w:r>
        <w:rPr>
          <w:rFonts w:hint="eastAsia" w:ascii="仿宋_GB2312" w:hAnsi="仿宋_GB2312" w:eastAsia="仿宋_GB2312" w:cs="仿宋_GB2312"/>
          <w:spacing w:val="0"/>
          <w:kern w:val="0"/>
          <w:sz w:val="32"/>
          <w:szCs w:val="32"/>
        </w:rPr>
        <w:t>决算编制范围的单位详细情况见下表:</w:t>
      </w:r>
    </w:p>
    <w:tbl>
      <w:tblPr>
        <w:tblStyle w:val="9"/>
        <w:tblW w:w="75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1428"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highlight w:val="none"/>
              </w:rPr>
            </w:pPr>
            <w:r>
              <w:rPr>
                <w:rFonts w:hint="eastAsia" w:ascii="仿宋" w:hAnsi="仿宋" w:eastAsia="仿宋" w:cs="仿宋_GB2312"/>
                <w:sz w:val="32"/>
                <w:szCs w:val="32"/>
                <w:highlight w:val="none"/>
              </w:rPr>
              <w:t>序号</w:t>
            </w:r>
          </w:p>
        </w:tc>
        <w:tc>
          <w:tcPr>
            <w:tcW w:w="613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highlight w:val="none"/>
              </w:rPr>
            </w:pPr>
            <w:r>
              <w:rPr>
                <w:rFonts w:hint="eastAsia" w:ascii="仿宋" w:hAnsi="仿宋" w:eastAsia="仿宋" w:cs="仿宋_GB2312"/>
                <w:sz w:val="32"/>
                <w:szCs w:val="32"/>
                <w:highlight w:val="none"/>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8" w:type="dxa"/>
            <w:tcBorders>
              <w:top w:val="single" w:color="auto" w:sz="4" w:space="0"/>
              <w:left w:val="single" w:color="auto" w:sz="4" w:space="0"/>
              <w:bottom w:val="single" w:color="auto" w:sz="4" w:space="0"/>
              <w:right w:val="single" w:color="auto" w:sz="4" w:space="0"/>
            </w:tcBorders>
            <w:vAlign w:val="center"/>
          </w:tcPr>
          <w:p>
            <w:pPr>
              <w:pStyle w:val="2"/>
              <w:jc w:val="center"/>
              <w:rPr>
                <w:rFonts w:ascii="仿宋" w:hAnsi="仿宋" w:eastAsia="仿宋" w:cs="Times New Roman"/>
                <w:b/>
                <w:bCs/>
                <w:sz w:val="32"/>
                <w:szCs w:val="32"/>
                <w:highlight w:val="none"/>
              </w:rPr>
            </w:pPr>
            <w:r>
              <w:rPr>
                <w:rFonts w:hint="eastAsia" w:ascii="仿宋_GB2312" w:hAnsi="仿宋_GB2312" w:eastAsia="仿宋_GB2312" w:cs="仿宋_GB2312"/>
                <w:sz w:val="32"/>
                <w:szCs w:val="32"/>
                <w:highlight w:val="none"/>
                <w:lang w:val="en-US" w:eastAsia="zh-CN"/>
              </w:rPr>
              <w:t>1</w:t>
            </w:r>
          </w:p>
        </w:tc>
        <w:tc>
          <w:tcPr>
            <w:tcW w:w="6136" w:type="dxa"/>
            <w:tcBorders>
              <w:top w:val="single" w:color="auto" w:sz="4" w:space="0"/>
              <w:left w:val="single" w:color="auto" w:sz="4" w:space="0"/>
              <w:bottom w:val="single" w:color="auto" w:sz="4" w:space="0"/>
              <w:right w:val="single" w:color="auto" w:sz="4" w:space="0"/>
            </w:tcBorders>
            <w:vAlign w:val="center"/>
          </w:tcPr>
          <w:p>
            <w:pPr>
              <w:pStyle w:val="2"/>
              <w:jc w:val="left"/>
              <w:rPr>
                <w:rFonts w:ascii="仿宋" w:hAnsi="仿宋" w:eastAsia="仿宋" w:cs="Times New Roman"/>
                <w:b/>
                <w:bCs/>
                <w:sz w:val="32"/>
                <w:szCs w:val="32"/>
                <w:highlight w:val="none"/>
              </w:rPr>
            </w:pPr>
            <w:r>
              <w:rPr>
                <w:rFonts w:hint="eastAsia" w:ascii="仿宋_GB2312" w:hAnsi="仿宋_GB2312" w:eastAsia="仿宋_GB2312" w:cs="仿宋_GB2312"/>
                <w:sz w:val="32"/>
                <w:szCs w:val="32"/>
                <w:highlight w:val="none"/>
                <w:lang w:val="en-US" w:eastAsia="zh-CN"/>
              </w:rPr>
              <w:t>福建省自然资源厅（本级）</w:t>
            </w:r>
          </w:p>
        </w:tc>
      </w:tr>
    </w:tbl>
    <w:p>
      <w:pPr>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三、</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主要工作总结</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center"/>
        <w:rPr>
          <w:rFonts w:hint="eastAsia" w:ascii="仿宋_GB2312" w:hAnsi="仿宋_GB2312" w:eastAsia="仿宋_GB2312" w:cs="仿宋_GB2312"/>
          <w:strike w:val="0"/>
          <w:color w:val="000000"/>
          <w:kern w:val="2"/>
          <w:sz w:val="32"/>
          <w:szCs w:val="32"/>
          <w:u w:val="none" w:color="auto"/>
          <w:lang w:eastAsia="zh-CN"/>
        </w:rPr>
      </w:pPr>
      <w:r>
        <w:rPr>
          <w:rFonts w:hint="eastAsia" w:ascii="仿宋_GB2312" w:hAnsi="仿宋_GB2312" w:eastAsia="仿宋_GB2312" w:cs="仿宋_GB2312"/>
          <w:strike w:val="0"/>
          <w:color w:val="000000"/>
          <w:spacing w:val="0"/>
          <w:kern w:val="2"/>
          <w:sz w:val="32"/>
          <w:szCs w:val="32"/>
          <w:u w:val="none" w:color="auto"/>
          <w:lang w:val="en-US" w:eastAsia="zh-CN" w:bidi="ar-SA"/>
        </w:rPr>
        <w:t>2025年</w:t>
      </w:r>
      <w:r>
        <w:rPr>
          <w:rFonts w:hint="eastAsia" w:ascii="仿宋_GB2312" w:hAnsi="仿宋_GB2312" w:eastAsia="仿宋_GB2312" w:cs="仿宋_GB2312"/>
          <w:strike w:val="0"/>
          <w:spacing w:val="0"/>
          <w:kern w:val="2"/>
          <w:sz w:val="32"/>
          <w:szCs w:val="32"/>
          <w:u w:val="none"/>
          <w:lang w:val="en-US" w:eastAsia="zh-CN" w:bidi="ar-SA"/>
        </w:rPr>
        <w:t>，全省自然资源系统</w:t>
      </w:r>
      <w:r>
        <w:rPr>
          <w:rFonts w:hint="eastAsia" w:ascii="仿宋_GB2312" w:hAnsi="仿宋_GB2312" w:eastAsia="仿宋_GB2312" w:cs="仿宋_GB2312"/>
          <w:strike w:val="0"/>
          <w:color w:val="000000"/>
          <w:kern w:val="2"/>
          <w:sz w:val="32"/>
          <w:szCs w:val="32"/>
          <w:u w:val="none" w:color="auto"/>
          <w:lang w:eastAsia="zh-CN"/>
        </w:rPr>
        <w:t>深入贯彻落实习近平生态文明思想和习近平总书记关于自然资源工作的重要论述</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lang w:eastAsia="zh-CN"/>
        </w:rPr>
        <w:t>切实履行</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spacing w:val="0"/>
          <w:kern w:val="2"/>
          <w:sz w:val="32"/>
          <w:szCs w:val="32"/>
          <w:u w:val="none" w:color="auto"/>
          <w:lang w:val="en-US" w:eastAsia="zh-CN" w:bidi="ar-SA"/>
        </w:rPr>
        <w:t>两统一</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核心职责</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kern w:val="2"/>
          <w:sz w:val="32"/>
          <w:szCs w:val="32"/>
          <w:u w:val="none" w:color="auto"/>
        </w:rPr>
        <w:t>持续深化拓展</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rPr>
        <w:t>深学争优</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rPr>
        <w:t>敢为争先</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rPr>
        <w:t>实干争效</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rPr>
        <w:t>行动</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lang w:eastAsia="zh-CN"/>
        </w:rPr>
        <w:t>以</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lang w:eastAsia="zh-CN"/>
        </w:rPr>
        <w:t>改革创新年</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lang w:eastAsia="zh-CN"/>
        </w:rPr>
        <w:t>活动为抓手</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spacing w:val="0"/>
          <w:kern w:val="2"/>
          <w:sz w:val="32"/>
          <w:szCs w:val="32"/>
          <w:u w:val="none" w:color="auto"/>
          <w:lang w:val="en-US" w:eastAsia="zh-CN" w:bidi="ar-SA"/>
        </w:rPr>
        <w:t>统筹保障高质量发展</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统筹强化高水平保护</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统筹支撑高水平安全</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各项工作取得积极成效</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kern w:val="2"/>
          <w:sz w:val="32"/>
          <w:szCs w:val="32"/>
          <w:u w:val="none" w:color="auto"/>
        </w:rPr>
        <w:t>为全省</w:t>
      </w:r>
      <w:r>
        <w:rPr>
          <w:rFonts w:hint="eastAsia" w:ascii="仿宋_GB2312" w:hAnsi="仿宋_GB2312" w:eastAsia="仿宋_GB2312" w:cs="仿宋_GB2312"/>
          <w:strike w:val="0"/>
          <w:color w:val="000000"/>
          <w:kern w:val="2"/>
          <w:sz w:val="32"/>
          <w:szCs w:val="32"/>
          <w:u w:val="none" w:color="auto"/>
          <w:lang w:eastAsia="zh-CN"/>
        </w:rPr>
        <w:t>经济社会发展</w:t>
      </w:r>
      <w:r>
        <w:rPr>
          <w:rFonts w:hint="eastAsia" w:ascii="仿宋_GB2312" w:hAnsi="仿宋_GB2312" w:eastAsia="仿宋_GB2312" w:cs="仿宋_GB2312"/>
          <w:strike w:val="0"/>
          <w:color w:val="000000"/>
          <w:kern w:val="2"/>
          <w:sz w:val="32"/>
          <w:szCs w:val="32"/>
          <w:u w:val="none" w:color="auto"/>
        </w:rPr>
        <w:t>提供</w:t>
      </w:r>
      <w:r>
        <w:rPr>
          <w:rFonts w:hint="eastAsia" w:ascii="仿宋_GB2312" w:hAnsi="仿宋_GB2312" w:eastAsia="仿宋_GB2312" w:cs="仿宋_GB2312"/>
          <w:strike w:val="0"/>
          <w:color w:val="000000"/>
          <w:kern w:val="2"/>
          <w:sz w:val="32"/>
          <w:szCs w:val="32"/>
          <w:u w:val="none" w:color="auto"/>
          <w:lang w:eastAsia="zh-CN"/>
        </w:rPr>
        <w:t>了</w:t>
      </w:r>
      <w:r>
        <w:rPr>
          <w:rFonts w:hint="eastAsia" w:ascii="仿宋_GB2312" w:hAnsi="仿宋_GB2312" w:eastAsia="仿宋_GB2312" w:cs="仿宋_GB2312"/>
          <w:strike w:val="0"/>
          <w:color w:val="000000"/>
          <w:kern w:val="2"/>
          <w:sz w:val="32"/>
          <w:szCs w:val="32"/>
          <w:u w:val="none" w:color="auto"/>
        </w:rPr>
        <w:t>坚实</w:t>
      </w:r>
      <w:r>
        <w:rPr>
          <w:rFonts w:hint="eastAsia" w:ascii="仿宋_GB2312" w:hAnsi="仿宋_GB2312" w:eastAsia="仿宋_GB2312" w:cs="仿宋_GB2312"/>
          <w:strike w:val="0"/>
          <w:color w:val="000000"/>
          <w:kern w:val="2"/>
          <w:sz w:val="32"/>
          <w:szCs w:val="32"/>
          <w:u w:val="none" w:color="auto"/>
          <w:lang w:eastAsia="zh-CN"/>
        </w:rPr>
        <w:t>有力</w:t>
      </w:r>
      <w:r>
        <w:rPr>
          <w:rFonts w:hint="eastAsia" w:ascii="仿宋_GB2312" w:hAnsi="仿宋_GB2312" w:eastAsia="仿宋_GB2312" w:cs="仿宋_GB2312"/>
          <w:strike w:val="0"/>
          <w:color w:val="000000"/>
          <w:kern w:val="2"/>
          <w:sz w:val="32"/>
          <w:szCs w:val="32"/>
          <w:u w:val="none" w:color="auto"/>
        </w:rPr>
        <w:t>自然资源支撑</w:t>
      </w:r>
      <w:r>
        <w:rPr>
          <w:rFonts w:hint="eastAsia" w:ascii="仿宋_GB2312" w:hAnsi="仿宋_GB2312" w:eastAsia="仿宋_GB2312" w:cs="仿宋_GB2312"/>
          <w:strike w:val="0"/>
          <w:kern w:val="2"/>
          <w:sz w:val="32"/>
          <w:szCs w:val="32"/>
          <w:u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3" w:firstLineChars="200"/>
        <w:jc w:val="both"/>
        <w:textAlignment w:val="center"/>
        <w:rPr>
          <w:rFonts w:hint="eastAsia" w:ascii="仿宋_GB2312" w:hAnsi="仿宋_GB2312" w:eastAsia="仿宋_GB2312" w:cs="仿宋_GB2312"/>
          <w:strike w:val="0"/>
          <w:color w:val="000000"/>
          <w:spacing w:val="0"/>
          <w:kern w:val="2"/>
          <w:sz w:val="32"/>
          <w:szCs w:val="32"/>
          <w:u w:val="none" w:color="auto"/>
          <w:lang w:val="en-US" w:eastAsia="zh-CN" w:bidi="ar-SA"/>
        </w:rPr>
      </w:pPr>
      <w:r>
        <w:rPr>
          <w:rFonts w:hint="eastAsia" w:ascii="仿宋_GB2312" w:hAnsi="仿宋_GB2312" w:eastAsia="仿宋_GB2312" w:cs="仿宋_GB2312"/>
          <w:b/>
          <w:bCs/>
          <w:strike w:val="0"/>
          <w:color w:val="000000"/>
          <w:spacing w:val="0"/>
          <w:kern w:val="2"/>
          <w:sz w:val="32"/>
          <w:szCs w:val="32"/>
          <w:u w:val="none" w:color="auto"/>
          <w:lang w:val="en-US" w:eastAsia="zh-CN"/>
        </w:rPr>
        <w:t>1.党建引领作用进一步凸显</w:t>
      </w:r>
      <w:r>
        <w:rPr>
          <w:rFonts w:hint="eastAsia" w:ascii="仿宋_GB2312" w:hAnsi="仿宋_GB2312" w:eastAsia="仿宋_GB2312" w:cs="仿宋_GB2312"/>
          <w:b/>
          <w:bCs/>
          <w:strike w:val="0"/>
          <w:spacing w:val="0"/>
          <w:kern w:val="2"/>
          <w:sz w:val="32"/>
          <w:szCs w:val="32"/>
          <w:u w:val="none"/>
          <w:lang w:val="en-US" w:eastAsia="zh-CN"/>
        </w:rPr>
        <w:t>。</w:t>
      </w:r>
      <w:r>
        <w:rPr>
          <w:rFonts w:hint="eastAsia" w:ascii="仿宋_GB2312" w:hAnsi="仿宋_GB2312" w:eastAsia="仿宋_GB2312" w:cs="仿宋_GB2312"/>
          <w:strike w:val="0"/>
          <w:spacing w:val="0"/>
          <w:kern w:val="2"/>
          <w:sz w:val="32"/>
          <w:szCs w:val="32"/>
          <w:u w:val="none"/>
          <w:lang w:val="en-US" w:eastAsia="zh-CN" w:bidi="ar-SA"/>
        </w:rPr>
        <w:t>坚持</w:t>
      </w:r>
      <w:r>
        <w:rPr>
          <w:rFonts w:hint="eastAsia" w:ascii="仿宋_GB2312" w:hAnsi="仿宋_GB2312" w:eastAsia="仿宋_GB2312" w:cs="仿宋_GB2312"/>
          <w:strike w:val="0"/>
          <w:color w:val="000000"/>
          <w:spacing w:val="0"/>
          <w:kern w:val="2"/>
          <w:sz w:val="32"/>
          <w:szCs w:val="32"/>
          <w:u w:val="none" w:color="auto"/>
          <w:lang w:val="en-US" w:eastAsia="zh-CN" w:bidi="ar-SA"/>
        </w:rPr>
        <w:t>把学习贯彻习近平总书记重要讲话重要指示批示精神作为谋划</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部署</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推进</w:t>
      </w:r>
      <w:r>
        <w:rPr>
          <w:rFonts w:hint="eastAsia" w:ascii="仿宋_GB2312" w:hAnsi="仿宋_GB2312" w:eastAsia="仿宋_GB2312" w:cs="仿宋_GB2312"/>
          <w:strike w:val="0"/>
          <w:spacing w:val="0"/>
          <w:kern w:val="2"/>
          <w:sz w:val="32"/>
          <w:szCs w:val="32"/>
          <w:u w:val="none"/>
          <w:lang w:val="en-US" w:eastAsia="zh-CN" w:bidi="ar-SA"/>
        </w:rPr>
        <w:t>、检验</w:t>
      </w:r>
      <w:r>
        <w:rPr>
          <w:rFonts w:hint="eastAsia" w:ascii="仿宋_GB2312" w:hAnsi="仿宋_GB2312" w:eastAsia="仿宋_GB2312" w:cs="仿宋_GB2312"/>
          <w:strike w:val="0"/>
          <w:color w:val="000000"/>
          <w:spacing w:val="0"/>
          <w:kern w:val="2"/>
          <w:sz w:val="32"/>
          <w:szCs w:val="32"/>
          <w:u w:val="none" w:color="auto"/>
          <w:lang w:val="en-US" w:eastAsia="zh-CN" w:bidi="ar-SA"/>
        </w:rPr>
        <w:t>自然资源工作的根本遵循</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不折不扣落实党中央</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国务院决策部署和自然资源部、省委省政府工作要求</w:t>
      </w:r>
      <w:r>
        <w:rPr>
          <w:rFonts w:hint="eastAsia" w:ascii="仿宋_GB2312" w:hAnsi="仿宋_GB2312" w:eastAsia="仿宋_GB2312" w:cs="仿宋_GB2312"/>
          <w:strike w:val="0"/>
          <w:spacing w:val="0"/>
          <w:kern w:val="2"/>
          <w:sz w:val="32"/>
          <w:szCs w:val="32"/>
          <w:u w:val="none"/>
          <w:lang w:val="en-US" w:eastAsia="zh-CN" w:bidi="ar-SA"/>
        </w:rPr>
        <w:t>，推动省“</w:t>
      </w:r>
      <w:r>
        <w:rPr>
          <w:rFonts w:hint="eastAsia" w:ascii="仿宋_GB2312" w:hAnsi="仿宋_GB2312" w:eastAsia="仿宋_GB2312" w:cs="仿宋_GB2312"/>
          <w:strike w:val="0"/>
          <w:color w:val="000000"/>
          <w:spacing w:val="0"/>
          <w:kern w:val="2"/>
          <w:sz w:val="32"/>
          <w:szCs w:val="32"/>
          <w:u w:val="none" w:color="auto"/>
          <w:lang w:val="en-US" w:eastAsia="zh-CN" w:bidi="ar-SA"/>
        </w:rPr>
        <w:t>十四五</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规划</w:t>
      </w:r>
      <w:r>
        <w:rPr>
          <w:rFonts w:hint="eastAsia" w:ascii="仿宋_GB2312" w:hAnsi="仿宋_GB2312" w:eastAsia="仿宋_GB2312" w:cs="仿宋_GB2312"/>
          <w:strike w:val="0"/>
          <w:spacing w:val="0"/>
          <w:kern w:val="2"/>
          <w:sz w:val="32"/>
          <w:szCs w:val="32"/>
          <w:u w:val="none"/>
          <w:lang w:val="en-US" w:eastAsia="zh-CN" w:bidi="ar-SA"/>
        </w:rPr>
        <w:t>自然资源</w:t>
      </w:r>
      <w:r>
        <w:rPr>
          <w:rFonts w:hint="eastAsia" w:ascii="仿宋_GB2312" w:hAnsi="仿宋_GB2312" w:eastAsia="仿宋_GB2312" w:cs="仿宋_GB2312"/>
          <w:strike w:val="0"/>
          <w:color w:val="000000"/>
          <w:spacing w:val="0"/>
          <w:kern w:val="2"/>
          <w:sz w:val="32"/>
          <w:szCs w:val="32"/>
          <w:u w:val="none" w:color="auto"/>
          <w:lang w:val="en-US" w:eastAsia="zh-CN" w:bidi="ar-SA"/>
        </w:rPr>
        <w:t>各项</w:t>
      </w:r>
      <w:r>
        <w:rPr>
          <w:rFonts w:hint="eastAsia" w:ascii="仿宋_GB2312" w:hAnsi="仿宋_GB2312" w:eastAsia="仿宋_GB2312" w:cs="仿宋_GB2312"/>
          <w:strike w:val="0"/>
          <w:spacing w:val="0"/>
          <w:kern w:val="2"/>
          <w:sz w:val="32"/>
          <w:szCs w:val="32"/>
          <w:u w:val="none"/>
          <w:lang w:val="en-US" w:eastAsia="zh-CN" w:bidi="ar-SA"/>
        </w:rPr>
        <w:t>目标</w:t>
      </w:r>
      <w:r>
        <w:rPr>
          <w:rFonts w:hint="eastAsia" w:ascii="仿宋_GB2312" w:hAnsi="仿宋_GB2312" w:eastAsia="仿宋_GB2312" w:cs="仿宋_GB2312"/>
          <w:strike w:val="0"/>
          <w:color w:val="000000"/>
          <w:spacing w:val="0"/>
          <w:kern w:val="2"/>
          <w:sz w:val="32"/>
          <w:szCs w:val="32"/>
          <w:u w:val="none" w:color="auto"/>
          <w:lang w:val="en-US" w:eastAsia="zh-CN" w:bidi="ar-SA"/>
        </w:rPr>
        <w:t>任务落地见效</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顺利收官</w:t>
      </w:r>
      <w:r>
        <w:rPr>
          <w:rFonts w:hint="eastAsia" w:ascii="仿宋_GB2312" w:hAnsi="仿宋_GB2312" w:eastAsia="仿宋_GB2312" w:cs="仿宋_GB2312"/>
          <w:strike w:val="0"/>
          <w:spacing w:val="0"/>
          <w:kern w:val="2"/>
          <w:sz w:val="32"/>
          <w:szCs w:val="32"/>
          <w:u w:val="none"/>
          <w:lang w:val="en-US" w:eastAsia="zh-CN" w:bidi="ar-SA"/>
        </w:rPr>
        <w:t>。强化落实全面从严治党主体责任，</w:t>
      </w:r>
      <w:r>
        <w:rPr>
          <w:rFonts w:hint="eastAsia" w:ascii="仿宋_GB2312" w:hAnsi="仿宋_GB2312" w:eastAsia="仿宋_GB2312" w:cs="仿宋_GB2312"/>
          <w:strike w:val="0"/>
          <w:color w:val="000000"/>
          <w:spacing w:val="0"/>
          <w:kern w:val="2"/>
          <w:sz w:val="32"/>
          <w:szCs w:val="32"/>
          <w:u w:val="none" w:color="auto"/>
          <w:lang w:val="en-US" w:eastAsia="zh-CN" w:bidi="ar-SA"/>
        </w:rPr>
        <w:t>从严从实开展深入贯彻中央八项规定精神学习教育</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深化落实整治形式主义为基层减负</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扎实完成群众身边不正之风和腐败问题集中整治等工作</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z w:val="32"/>
          <w:szCs w:val="32"/>
        </w:rPr>
        <w:t>不动产“登记难”台账任务应化尽化，“‘带片’下沉督导”“制定问答式的‘指导手册’”等做法得到中央纪委国家监委的肯定。</w:t>
      </w:r>
      <w:r>
        <w:rPr>
          <w:rFonts w:hint="eastAsia" w:ascii="仿宋_GB2312" w:hAnsi="仿宋_GB2312" w:eastAsia="仿宋_GB2312" w:cs="仿宋_GB2312"/>
          <w:sz w:val="32"/>
          <w:szCs w:val="32"/>
          <w:lang w:eastAsia="zh-CN"/>
        </w:rPr>
        <w:t>党建工作责任制压紧压实，</w:t>
      </w:r>
      <w:r>
        <w:rPr>
          <w:rFonts w:hint="eastAsia" w:ascii="仿宋_GB2312" w:hAnsi="仿宋_GB2312" w:eastAsia="仿宋_GB2312" w:cs="仿宋_GB2312"/>
          <w:sz w:val="32"/>
          <w:szCs w:val="32"/>
        </w:rPr>
        <w:t>持续打造10个自然资源党建特色品牌，多项创建成果获自然资源部、省直机关工委肯定，自然资源领域新风正气福建“名片”的含金量不断提升</w:t>
      </w:r>
      <w:r>
        <w:rPr>
          <w:rFonts w:hint="eastAsia" w:ascii="仿宋_GB2312" w:hAnsi="仿宋_GB2312" w:eastAsia="仿宋_GB2312" w:cs="仿宋_GB2312"/>
          <w:strike w:val="0"/>
          <w:color w:val="000000"/>
          <w:spacing w:val="0"/>
          <w:kern w:val="2"/>
          <w:sz w:val="32"/>
          <w:szCs w:val="32"/>
          <w:u w:val="none" w:color="auto"/>
          <w:lang w:val="en-US" w:eastAsia="zh-CN" w:bidi="ar-SA"/>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3" w:firstLineChars="200"/>
        <w:jc w:val="both"/>
        <w:textAlignment w:val="center"/>
        <w:rPr>
          <w:rFonts w:hint="eastAsia" w:ascii="仿宋_GB2312" w:hAnsi="仿宋_GB2312" w:eastAsia="仿宋_GB2312" w:cs="仿宋_GB2312"/>
          <w:strike w:val="0"/>
          <w:color w:val="000000"/>
          <w:spacing w:val="0"/>
          <w:kern w:val="2"/>
          <w:sz w:val="32"/>
          <w:szCs w:val="32"/>
          <w:u w:val="none" w:color="auto"/>
          <w:lang w:val="en-US" w:eastAsia="zh-CN" w:bidi="ar-SA"/>
        </w:rPr>
      </w:pPr>
      <w:r>
        <w:rPr>
          <w:rFonts w:hint="eastAsia" w:ascii="仿宋_GB2312" w:hAnsi="仿宋_GB2312" w:eastAsia="仿宋_GB2312" w:cs="仿宋_GB2312"/>
          <w:b/>
          <w:bCs/>
          <w:strike w:val="0"/>
          <w:color w:val="000000"/>
          <w:spacing w:val="0"/>
          <w:kern w:val="2"/>
          <w:sz w:val="32"/>
          <w:szCs w:val="32"/>
          <w:u w:val="none" w:color="auto"/>
          <w:lang w:val="en-US" w:eastAsia="zh-CN"/>
        </w:rPr>
        <w:t>2.空间规划实施进一步深化。</w:t>
      </w:r>
      <w:r>
        <w:rPr>
          <w:rFonts w:hint="eastAsia" w:ascii="仿宋_GB2312" w:hAnsi="仿宋_GB2312" w:eastAsia="仿宋_GB2312" w:cs="仿宋_GB2312"/>
          <w:sz w:val="32"/>
          <w:szCs w:val="32"/>
        </w:rPr>
        <w:t>夯实国土空间规划的基础性作用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trike w:val="0"/>
          <w:color w:val="000000"/>
          <w:spacing w:val="0"/>
          <w:kern w:val="2"/>
          <w:sz w:val="32"/>
          <w:szCs w:val="32"/>
          <w:u w:val="none" w:color="auto"/>
          <w:lang w:val="en-US" w:eastAsia="zh-CN" w:bidi="ar-SA"/>
        </w:rPr>
        <w:t>省</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市</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县三级国土空间规划全面落地实施</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城镇开发边界内详细规划覆盖率超60%</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乡村地区规划管理实现全覆盖</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省级海岸带及海洋空间规划印发实施</w:t>
      </w:r>
      <w:r>
        <w:rPr>
          <w:rFonts w:hint="eastAsia" w:ascii="仿宋_GB2312" w:hAnsi="仿宋_GB2312" w:eastAsia="仿宋_GB2312" w:cs="仿宋_GB2312"/>
          <w:strike w:val="0"/>
          <w:spacing w:val="0"/>
          <w:kern w:val="2"/>
          <w:sz w:val="32"/>
          <w:szCs w:val="32"/>
          <w:u w:val="none"/>
          <w:lang w:val="en-US" w:eastAsia="zh-CN" w:bidi="ar-SA"/>
        </w:rPr>
        <w:t>，空间规划体系更加健全、支撑更加有力。</w:t>
      </w:r>
      <w:r>
        <w:rPr>
          <w:rFonts w:hint="eastAsia" w:ascii="仿宋_GB2312" w:hAnsi="仿宋_GB2312" w:eastAsia="仿宋_GB2312" w:cs="仿宋_GB2312"/>
          <w:strike w:val="0"/>
          <w:color w:val="000000"/>
          <w:spacing w:val="0"/>
          <w:kern w:val="2"/>
          <w:sz w:val="32"/>
          <w:szCs w:val="32"/>
          <w:u w:val="none" w:color="auto"/>
          <w:lang w:val="en-US" w:eastAsia="zh-CN" w:bidi="ar-SA"/>
        </w:rPr>
        <w:t>自然资源管理和国土空间规划</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一张图</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建设加快推进</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在全国率先将河湖管理范围划定成果纳入</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一张图</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管理</w:t>
      </w:r>
      <w:r>
        <w:rPr>
          <w:rFonts w:hint="eastAsia" w:ascii="仿宋_GB2312" w:hAnsi="仿宋_GB2312" w:eastAsia="仿宋_GB2312" w:cs="仿宋_GB2312"/>
          <w:strike w:val="0"/>
          <w:spacing w:val="0"/>
          <w:kern w:val="2"/>
          <w:sz w:val="32"/>
          <w:szCs w:val="32"/>
          <w:u w:val="none"/>
          <w:lang w:val="en-US" w:eastAsia="zh-CN" w:bidi="ar-SA"/>
        </w:rPr>
        <w:t>，</w:t>
      </w:r>
      <w:r>
        <w:rPr>
          <w:rFonts w:hint="eastAsia" w:ascii="仿宋_GB2312" w:hAnsi="仿宋_GB2312" w:eastAsia="仿宋_GB2312" w:cs="仿宋_GB2312"/>
          <w:strike w:val="0"/>
          <w:color w:val="000000"/>
          <w:spacing w:val="0"/>
          <w:kern w:val="2"/>
          <w:sz w:val="32"/>
          <w:szCs w:val="32"/>
          <w:u w:val="none" w:color="auto"/>
          <w:lang w:val="en-US" w:eastAsia="zh-CN" w:bidi="ar-SA"/>
        </w:rPr>
        <w:t>统一</w:t>
      </w:r>
      <w:r>
        <w:rPr>
          <w:rFonts w:hint="eastAsia" w:ascii="仿宋_GB2312" w:hAnsi="仿宋_GB2312" w:eastAsia="仿宋_GB2312" w:cs="仿宋_GB2312"/>
          <w:strike w:val="0"/>
          <w:spacing w:val="0"/>
          <w:kern w:val="2"/>
          <w:sz w:val="32"/>
          <w:szCs w:val="32"/>
          <w:u w:val="none"/>
          <w:lang w:val="en-US" w:eastAsia="zh-CN" w:bidi="ar-SA"/>
        </w:rPr>
        <w:t>地理</w:t>
      </w:r>
      <w:r>
        <w:rPr>
          <w:rFonts w:hint="eastAsia" w:ascii="仿宋_GB2312" w:hAnsi="仿宋_GB2312" w:eastAsia="仿宋_GB2312" w:cs="仿宋_GB2312"/>
          <w:strike w:val="0"/>
          <w:color w:val="000000"/>
          <w:spacing w:val="0"/>
          <w:kern w:val="2"/>
          <w:sz w:val="32"/>
          <w:szCs w:val="32"/>
          <w:u w:val="none" w:color="auto"/>
          <w:lang w:val="en-US" w:eastAsia="zh-CN" w:bidi="ar-SA"/>
        </w:rPr>
        <w:t>底图</w:t>
      </w:r>
      <w:r>
        <w:rPr>
          <w:rFonts w:hint="eastAsia" w:ascii="仿宋_GB2312" w:hAnsi="仿宋_GB2312" w:eastAsia="仿宋_GB2312" w:cs="仿宋_GB2312"/>
          <w:strike w:val="0"/>
          <w:spacing w:val="0"/>
          <w:kern w:val="2"/>
          <w:sz w:val="32"/>
          <w:szCs w:val="32"/>
          <w:u w:val="none"/>
          <w:lang w:val="en-US" w:eastAsia="zh-CN" w:bidi="ar-SA"/>
        </w:rPr>
        <w:t>等建设任务完成</w:t>
      </w:r>
      <w:r>
        <w:rPr>
          <w:rFonts w:hint="eastAsia" w:ascii="仿宋_GB2312" w:hAnsi="仿宋_GB2312" w:eastAsia="仿宋_GB2312" w:cs="仿宋_GB2312"/>
          <w:strike w:val="0"/>
          <w:color w:val="000000"/>
          <w:spacing w:val="0"/>
          <w:kern w:val="2"/>
          <w:sz w:val="32"/>
          <w:szCs w:val="32"/>
          <w:u w:val="none" w:color="auto"/>
          <w:lang w:val="en-US" w:eastAsia="zh-CN" w:bidi="ar-SA"/>
        </w:rPr>
        <w:t>阶段性目标</w:t>
      </w:r>
      <w:r>
        <w:rPr>
          <w:rFonts w:hint="eastAsia" w:ascii="仿宋_GB2312" w:hAnsi="仿宋_GB2312" w:eastAsia="仿宋_GB2312" w:cs="仿宋_GB2312"/>
          <w:strike w:val="0"/>
          <w:spacing w:val="0"/>
          <w:kern w:val="2"/>
          <w:sz w:val="32"/>
          <w:szCs w:val="32"/>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center"/>
        <w:outlineLvl w:val="9"/>
        <w:rPr>
          <w:rFonts w:hint="eastAsia" w:ascii="仿宋_GB2312" w:hAnsi="仿宋_GB2312" w:eastAsia="仿宋_GB2312" w:cs="仿宋_GB2312"/>
          <w:strike w:val="0"/>
          <w:color w:val="000000"/>
          <w:spacing w:val="0"/>
          <w:kern w:val="2"/>
          <w:sz w:val="32"/>
          <w:szCs w:val="32"/>
          <w:u w:val="none" w:color="auto"/>
          <w:lang w:val="en-US" w:eastAsia="zh-CN" w:bidi="ar-SA"/>
        </w:rPr>
      </w:pPr>
      <w:r>
        <w:rPr>
          <w:rFonts w:hint="eastAsia" w:ascii="仿宋_GB2312" w:hAnsi="仿宋_GB2312" w:eastAsia="仿宋_GB2312" w:cs="仿宋_GB2312"/>
          <w:b/>
          <w:bCs/>
          <w:strike w:val="0"/>
          <w:color w:val="000000"/>
          <w:spacing w:val="0"/>
          <w:kern w:val="2"/>
          <w:sz w:val="32"/>
          <w:szCs w:val="32"/>
          <w:u w:val="none" w:color="auto"/>
          <w:lang w:val="en-US" w:eastAsia="zh-CN"/>
        </w:rPr>
        <w:t>3.耕地保护基础进一步夯实。</w:t>
      </w:r>
      <w:r>
        <w:rPr>
          <w:rFonts w:hint="eastAsia" w:ascii="仿宋_GB2312" w:hAnsi="仿宋_GB2312" w:eastAsia="仿宋_GB2312" w:cs="仿宋_GB2312"/>
          <w:color w:val="000000"/>
          <w:kern w:val="2"/>
          <w:sz w:val="32"/>
          <w:szCs w:val="32"/>
          <w:u w:val="none" w:color="auto"/>
        </w:rPr>
        <w:t>全面落实最严格的耕地保护制度</w:t>
      </w:r>
      <w:r>
        <w:rPr>
          <w:rFonts w:hint="eastAsia" w:ascii="仿宋_GB2312" w:hAnsi="仿宋_GB2312" w:eastAsia="仿宋_GB2312" w:cs="仿宋_GB2312"/>
          <w:kern w:val="2"/>
          <w:sz w:val="32"/>
          <w:szCs w:val="32"/>
          <w:u w:val="none"/>
          <w:lang w:eastAsia="zh-CN"/>
        </w:rPr>
        <w:t>，</w:t>
      </w:r>
      <w:r>
        <w:rPr>
          <w:rFonts w:hint="eastAsia" w:ascii="仿宋_GB2312" w:hAnsi="仿宋_GB2312" w:eastAsia="仿宋_GB2312" w:cs="仿宋_GB2312"/>
          <w:sz w:val="32"/>
          <w:szCs w:val="32"/>
        </w:rPr>
        <w:t>强化耕地总量管控，按照“认定一批、恢复一批、置换一批”原则稳妥推进历史流失耕地分类处置，全省连续26年实现耕地占补平衡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连续4年实现耕地稳中有增，顺利通过国家耕地保护和粮食安全责任制考核</w:t>
      </w:r>
      <w:r>
        <w:rPr>
          <w:rFonts w:hint="eastAsia" w:ascii="仿宋_GB2312" w:hAnsi="仿宋_GB2312" w:eastAsia="仿宋_GB2312" w:cs="仿宋_GB2312"/>
          <w:color w:val="000000"/>
          <w:kern w:val="2"/>
          <w:sz w:val="32"/>
          <w:szCs w:val="32"/>
          <w:u w:val="none" w:color="auto"/>
          <w:lang w:eastAsia="zh-CN"/>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3" w:firstLineChars="200"/>
        <w:jc w:val="both"/>
        <w:textAlignment w:val="center"/>
        <w:outlineLvl w:val="9"/>
        <w:rPr>
          <w:rFonts w:hint="eastAsia" w:ascii="仿宋_GB2312" w:hAnsi="仿宋_GB2312" w:eastAsia="仿宋_GB2312" w:cs="仿宋_GB2312"/>
          <w:strike w:val="0"/>
          <w:color w:val="000000"/>
          <w:kern w:val="2"/>
          <w:sz w:val="32"/>
          <w:szCs w:val="32"/>
          <w:u w:val="none" w:color="auto"/>
          <w:lang w:val="en-US" w:eastAsia="zh-CN"/>
        </w:rPr>
      </w:pPr>
      <w:r>
        <w:rPr>
          <w:rFonts w:hint="eastAsia" w:ascii="仿宋_GB2312" w:hAnsi="仿宋_GB2312" w:eastAsia="仿宋_GB2312" w:cs="仿宋_GB2312"/>
          <w:b/>
          <w:bCs/>
          <w:strike w:val="0"/>
          <w:color w:val="000000"/>
          <w:spacing w:val="0"/>
          <w:kern w:val="2"/>
          <w:sz w:val="32"/>
          <w:szCs w:val="32"/>
          <w:u w:val="none" w:color="auto"/>
          <w:lang w:val="en-US" w:eastAsia="zh-CN"/>
        </w:rPr>
        <w:t>4.要素精准保障进一步强化。</w:t>
      </w:r>
      <w:r>
        <w:rPr>
          <w:rFonts w:hint="eastAsia" w:ascii="仿宋_GB2312" w:hAnsi="仿宋_GB2312" w:eastAsia="仿宋_GB2312" w:cs="仿宋_GB2312"/>
          <w:b w:val="0"/>
          <w:bCs w:val="0"/>
          <w:strike w:val="0"/>
          <w:spacing w:val="0"/>
          <w:kern w:val="2"/>
          <w:sz w:val="32"/>
          <w:szCs w:val="32"/>
          <w:u w:val="none"/>
          <w:lang w:val="en-US" w:eastAsia="zh-CN"/>
        </w:rPr>
        <w:t>全力以赴保障发展，要素保障</w:t>
      </w:r>
      <w:r>
        <w:rPr>
          <w:rFonts w:hint="eastAsia" w:ascii="仿宋_GB2312" w:hAnsi="仿宋_GB2312" w:eastAsia="仿宋_GB2312" w:cs="仿宋_GB2312"/>
          <w:b w:val="0"/>
          <w:bCs w:val="0"/>
          <w:strike w:val="0"/>
          <w:color w:val="000000"/>
          <w:spacing w:val="0"/>
          <w:kern w:val="2"/>
          <w:sz w:val="32"/>
          <w:szCs w:val="32"/>
          <w:u w:val="none" w:color="auto"/>
          <w:lang w:val="en-US" w:eastAsia="zh-CN" w:bidi="ar-SA"/>
        </w:rPr>
        <w:t>现场办公服务实现两轮全省覆盖</w:t>
      </w:r>
      <w:r>
        <w:rPr>
          <w:rFonts w:hint="eastAsia" w:ascii="仿宋_GB2312" w:hAnsi="仿宋_GB2312" w:eastAsia="仿宋_GB2312" w:cs="仿宋_GB2312"/>
          <w:b w:val="0"/>
          <w:bCs w:val="0"/>
          <w:strike w:val="0"/>
          <w:spacing w:val="0"/>
          <w:kern w:val="2"/>
          <w:sz w:val="32"/>
          <w:szCs w:val="32"/>
          <w:u w:val="none"/>
          <w:lang w:val="en-US" w:eastAsia="zh-CN" w:bidi="ar-SA"/>
        </w:rPr>
        <w:t>，</w:t>
      </w:r>
      <w:r>
        <w:rPr>
          <w:rFonts w:hint="eastAsia" w:ascii="仿宋_GB2312" w:hAnsi="仿宋_GB2312" w:eastAsia="仿宋_GB2312" w:cs="仿宋_GB2312"/>
          <w:b w:val="0"/>
          <w:bCs w:val="0"/>
          <w:strike w:val="0"/>
          <w:color w:val="000000"/>
          <w:spacing w:val="0"/>
          <w:kern w:val="2"/>
          <w:sz w:val="32"/>
          <w:szCs w:val="32"/>
          <w:u w:val="none" w:color="auto"/>
          <w:lang w:val="en-US" w:eastAsia="zh-CN" w:bidi="ar-SA"/>
        </w:rPr>
        <w:t>对</w:t>
      </w:r>
      <w:r>
        <w:rPr>
          <w:rFonts w:hint="eastAsia" w:ascii="仿宋_GB2312" w:hAnsi="仿宋_GB2312" w:eastAsia="仿宋_GB2312" w:cs="仿宋_GB2312"/>
          <w:strike w:val="0"/>
          <w:color w:val="000000"/>
          <w:kern w:val="2"/>
          <w:sz w:val="32"/>
          <w:szCs w:val="32"/>
          <w:highlight w:val="none"/>
          <w:u w:val="none" w:color="auto"/>
          <w:lang w:val="en-US" w:eastAsia="zh-CN"/>
        </w:rPr>
        <w:t>符合审批条件的重点项目用地用海应保尽保</w:t>
      </w:r>
      <w:r>
        <w:rPr>
          <w:rFonts w:hint="eastAsia" w:ascii="仿宋_GB2312" w:hAnsi="仿宋_GB2312" w:eastAsia="仿宋_GB2312" w:cs="仿宋_GB2312"/>
          <w:strike w:val="0"/>
          <w:kern w:val="2"/>
          <w:sz w:val="32"/>
          <w:szCs w:val="32"/>
          <w:highlight w:val="none"/>
          <w:u w:val="none"/>
          <w:lang w:val="en-US" w:eastAsia="zh-CN"/>
        </w:rPr>
        <w:t>、</w:t>
      </w:r>
      <w:r>
        <w:rPr>
          <w:rFonts w:hint="eastAsia" w:ascii="仿宋_GB2312" w:hAnsi="仿宋_GB2312" w:eastAsia="仿宋_GB2312" w:cs="仿宋_GB2312"/>
          <w:strike w:val="0"/>
          <w:color w:val="000000"/>
          <w:kern w:val="2"/>
          <w:sz w:val="32"/>
          <w:szCs w:val="32"/>
          <w:highlight w:val="none"/>
          <w:u w:val="none" w:color="auto"/>
          <w:lang w:val="en-US" w:eastAsia="zh-CN"/>
        </w:rPr>
        <w:t>应批尽批</w:t>
      </w:r>
      <w:r>
        <w:rPr>
          <w:rFonts w:hint="eastAsia" w:ascii="仿宋_GB2312" w:hAnsi="仿宋_GB2312" w:eastAsia="仿宋_GB2312" w:cs="仿宋_GB2312"/>
          <w:strike w:val="0"/>
          <w:kern w:val="2"/>
          <w:sz w:val="32"/>
          <w:szCs w:val="32"/>
          <w:highlight w:val="none"/>
          <w:u w:val="none"/>
          <w:lang w:val="en-US" w:eastAsia="zh-CN"/>
        </w:rPr>
        <w:t>。</w:t>
      </w:r>
      <w:r>
        <w:rPr>
          <w:rFonts w:hint="eastAsia" w:ascii="仿宋_GB2312" w:hAnsi="仿宋_GB2312" w:eastAsia="仿宋_GB2312" w:cs="仿宋_GB2312"/>
          <w:strike w:val="0"/>
          <w:color w:val="000000"/>
          <w:kern w:val="2"/>
          <w:sz w:val="32"/>
          <w:szCs w:val="32"/>
          <w:highlight w:val="none"/>
          <w:u w:val="none" w:color="auto"/>
          <w:lang w:val="en-US" w:eastAsia="zh-CN"/>
        </w:rPr>
        <w:t>有力保障了漳汕高铁</w:t>
      </w:r>
      <w:r>
        <w:rPr>
          <w:rFonts w:hint="eastAsia" w:ascii="仿宋_GB2312" w:hAnsi="仿宋_GB2312" w:eastAsia="仿宋_GB2312" w:cs="仿宋_GB2312"/>
          <w:strike w:val="0"/>
          <w:kern w:val="2"/>
          <w:sz w:val="32"/>
          <w:szCs w:val="32"/>
          <w:highlight w:val="none"/>
          <w:u w:val="none"/>
          <w:lang w:val="en-US" w:eastAsia="zh-CN"/>
        </w:rPr>
        <w:t>、古雷炼化一体化二期</w:t>
      </w:r>
      <w:r>
        <w:rPr>
          <w:rFonts w:hint="eastAsia" w:ascii="仿宋_GB2312" w:hAnsi="仿宋_GB2312" w:eastAsia="仿宋_GB2312" w:cs="仿宋_GB2312"/>
          <w:strike w:val="0"/>
          <w:color w:val="000000"/>
          <w:kern w:val="2"/>
          <w:sz w:val="32"/>
          <w:szCs w:val="32"/>
          <w:highlight w:val="none"/>
          <w:u w:val="none" w:color="auto"/>
          <w:lang w:val="en-US" w:eastAsia="zh-CN"/>
        </w:rPr>
        <w:t>等一大批重大基础设施</w:t>
      </w:r>
      <w:r>
        <w:rPr>
          <w:rFonts w:hint="eastAsia" w:ascii="仿宋_GB2312" w:hAnsi="仿宋_GB2312" w:eastAsia="仿宋_GB2312" w:cs="仿宋_GB2312"/>
          <w:strike w:val="0"/>
          <w:kern w:val="2"/>
          <w:sz w:val="32"/>
          <w:szCs w:val="32"/>
          <w:highlight w:val="none"/>
          <w:u w:val="none"/>
          <w:lang w:val="en-US" w:eastAsia="zh-CN"/>
        </w:rPr>
        <w:t>、</w:t>
      </w:r>
      <w:r>
        <w:rPr>
          <w:rFonts w:hint="eastAsia" w:ascii="仿宋_GB2312" w:hAnsi="仿宋_GB2312" w:eastAsia="仿宋_GB2312" w:cs="仿宋_GB2312"/>
          <w:strike w:val="0"/>
          <w:color w:val="000000"/>
          <w:kern w:val="2"/>
          <w:sz w:val="32"/>
          <w:szCs w:val="32"/>
          <w:highlight w:val="none"/>
          <w:u w:val="none" w:color="auto"/>
          <w:lang w:val="en-US" w:eastAsia="zh-CN"/>
        </w:rPr>
        <w:t>产业项目和民生工程落地建设</w:t>
      </w:r>
      <w:r>
        <w:rPr>
          <w:rFonts w:hint="eastAsia" w:ascii="仿宋_GB2312" w:hAnsi="仿宋_GB2312" w:eastAsia="仿宋_GB2312" w:cs="仿宋_GB2312"/>
          <w:strike w:val="0"/>
          <w:kern w:val="2"/>
          <w:sz w:val="32"/>
          <w:szCs w:val="32"/>
          <w:highlight w:val="none"/>
          <w:u w:val="none"/>
          <w:lang w:val="en-US" w:eastAsia="zh-CN"/>
        </w:rPr>
        <w:t>。</w:t>
      </w:r>
      <w:r>
        <w:rPr>
          <w:rFonts w:hint="eastAsia" w:ascii="仿宋_GB2312" w:hAnsi="仿宋_GB2312" w:eastAsia="仿宋_GB2312" w:cs="仿宋_GB2312"/>
          <w:strike w:val="0"/>
          <w:color w:val="000000"/>
          <w:kern w:val="2"/>
          <w:sz w:val="32"/>
          <w:szCs w:val="32"/>
          <w:u w:val="none" w:color="auto"/>
          <w:lang w:val="en-US" w:eastAsia="zh-CN" w:bidi="ar-SA"/>
        </w:rPr>
        <w:t>建设用地审批</w:t>
      </w:r>
      <w:r>
        <w:rPr>
          <w:rFonts w:hint="eastAsia" w:ascii="仿宋_GB2312" w:hAnsi="仿宋_GB2312" w:eastAsia="仿宋_GB2312" w:cs="仿宋_GB2312"/>
          <w:strike w:val="0"/>
          <w:kern w:val="2"/>
          <w:sz w:val="32"/>
          <w:szCs w:val="32"/>
          <w:u w:val="none"/>
          <w:lang w:val="en-US" w:eastAsia="zh-CN" w:bidi="ar-SA"/>
        </w:rPr>
        <w:t>“</w:t>
      </w:r>
      <w:r>
        <w:rPr>
          <w:rFonts w:hint="eastAsia" w:ascii="仿宋_GB2312" w:hAnsi="仿宋_GB2312" w:eastAsia="仿宋_GB2312" w:cs="仿宋_GB2312"/>
          <w:strike w:val="0"/>
          <w:color w:val="000000"/>
          <w:kern w:val="2"/>
          <w:sz w:val="32"/>
          <w:szCs w:val="32"/>
          <w:u w:val="none" w:color="auto"/>
          <w:lang w:val="en-US" w:eastAsia="zh-CN" w:bidi="ar-SA"/>
        </w:rPr>
        <w:t>双随机</w:t>
      </w:r>
      <w:r>
        <w:rPr>
          <w:rFonts w:hint="eastAsia" w:ascii="仿宋_GB2312" w:hAnsi="仿宋_GB2312" w:eastAsia="仿宋_GB2312" w:cs="仿宋_GB2312"/>
          <w:strike w:val="0"/>
          <w:kern w:val="2"/>
          <w:sz w:val="32"/>
          <w:szCs w:val="32"/>
          <w:u w:val="none"/>
          <w:lang w:val="en-US" w:eastAsia="zh-CN" w:bidi="ar-SA"/>
        </w:rPr>
        <w:t>、</w:t>
      </w:r>
      <w:r>
        <w:rPr>
          <w:rFonts w:hint="eastAsia" w:ascii="仿宋_GB2312" w:hAnsi="仿宋_GB2312" w:eastAsia="仿宋_GB2312" w:cs="仿宋_GB2312"/>
          <w:strike w:val="0"/>
          <w:color w:val="000000"/>
          <w:kern w:val="2"/>
          <w:sz w:val="32"/>
          <w:szCs w:val="32"/>
          <w:u w:val="none" w:color="auto"/>
          <w:lang w:val="en-US" w:eastAsia="zh-CN" w:bidi="ar-SA"/>
        </w:rPr>
        <w:t>一公开</w:t>
      </w:r>
      <w:r>
        <w:rPr>
          <w:rFonts w:hint="eastAsia" w:ascii="仿宋_GB2312" w:hAnsi="仿宋_GB2312" w:eastAsia="仿宋_GB2312" w:cs="仿宋_GB2312"/>
          <w:strike w:val="0"/>
          <w:kern w:val="2"/>
          <w:sz w:val="32"/>
          <w:szCs w:val="32"/>
          <w:u w:val="none"/>
          <w:lang w:val="en-US" w:eastAsia="zh-CN" w:bidi="ar-SA"/>
        </w:rPr>
        <w:t>”</w:t>
      </w:r>
      <w:r>
        <w:rPr>
          <w:rFonts w:hint="eastAsia" w:ascii="仿宋_GB2312" w:hAnsi="仿宋_GB2312" w:eastAsia="仿宋_GB2312" w:cs="仿宋_GB2312"/>
          <w:strike w:val="0"/>
          <w:color w:val="000000"/>
          <w:kern w:val="2"/>
          <w:sz w:val="32"/>
          <w:szCs w:val="32"/>
          <w:u w:val="none" w:color="auto"/>
          <w:lang w:val="en-US" w:eastAsia="zh-CN" w:bidi="ar-SA"/>
        </w:rPr>
        <w:t>抽查得分跃居全国首位</w:t>
      </w:r>
      <w:r>
        <w:rPr>
          <w:rFonts w:hint="eastAsia" w:ascii="仿宋_GB2312" w:hAnsi="仿宋_GB2312" w:eastAsia="仿宋_GB2312" w:cs="仿宋_GB2312"/>
          <w:strike w:val="0"/>
          <w:kern w:val="2"/>
          <w:sz w:val="32"/>
          <w:szCs w:val="32"/>
          <w:highlight w:val="none"/>
          <w:u w:val="none"/>
          <w:lang w:val="en-US" w:eastAsia="zh-CN"/>
        </w:rPr>
        <w:t>。</w:t>
      </w:r>
      <w:r>
        <w:rPr>
          <w:rFonts w:hint="eastAsia" w:ascii="仿宋_GB2312" w:hAnsi="仿宋_GB2312" w:eastAsia="仿宋_GB2312" w:cs="仿宋_GB2312"/>
          <w:strike w:val="0"/>
          <w:color w:val="000000"/>
          <w:kern w:val="2"/>
          <w:sz w:val="32"/>
          <w:szCs w:val="32"/>
          <w:highlight w:val="none"/>
          <w:u w:val="none" w:color="auto"/>
          <w:lang w:val="en-US" w:eastAsia="zh-CN"/>
        </w:rPr>
        <w:t>节约集约利用水平持续提升，</w:t>
      </w:r>
      <w:r>
        <w:rPr>
          <w:rFonts w:hint="eastAsia" w:ascii="仿宋_GB2312" w:hAnsi="仿宋_GB2312" w:eastAsia="仿宋_GB2312" w:cs="仿宋_GB2312"/>
          <w:strike w:val="0"/>
          <w:color w:val="000000"/>
          <w:kern w:val="2"/>
          <w:sz w:val="32"/>
          <w:szCs w:val="32"/>
          <w:u w:val="none" w:color="auto"/>
          <w:lang w:eastAsia="zh-CN"/>
        </w:rPr>
        <w:t>战略</w:t>
      </w:r>
      <w:r>
        <w:rPr>
          <w:rFonts w:hint="eastAsia" w:ascii="仿宋_GB2312" w:hAnsi="仿宋_GB2312" w:eastAsia="仿宋_GB2312" w:cs="仿宋_GB2312"/>
          <w:strike w:val="0"/>
          <w:kern w:val="2"/>
          <w:sz w:val="32"/>
          <w:szCs w:val="32"/>
          <w:u w:val="none"/>
          <w:lang w:eastAsia="zh-CN"/>
        </w:rPr>
        <w:t>性矿产</w:t>
      </w:r>
      <w:r>
        <w:rPr>
          <w:rFonts w:hint="eastAsia" w:ascii="仿宋_GB2312" w:hAnsi="仿宋_GB2312" w:eastAsia="仿宋_GB2312" w:cs="仿宋_GB2312"/>
          <w:strike w:val="0"/>
          <w:color w:val="000000"/>
          <w:kern w:val="2"/>
          <w:sz w:val="32"/>
          <w:szCs w:val="32"/>
          <w:u w:val="none" w:color="auto"/>
          <w:lang w:eastAsia="zh-CN"/>
        </w:rPr>
        <w:t>找矿取得新突破</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lang w:eastAsia="zh-CN"/>
        </w:rPr>
        <w:t>锂矿储量实现</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lang w:eastAsia="zh-CN"/>
        </w:rPr>
        <w:t>零</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lang w:eastAsia="zh-CN"/>
        </w:rPr>
        <w:t>的突破</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lang w:eastAsia="zh-CN"/>
        </w:rPr>
        <w:t>为全省产业发展提供坚实资源支撑</w:t>
      </w:r>
      <w:r>
        <w:rPr>
          <w:rFonts w:hint="eastAsia" w:ascii="仿宋_GB2312" w:hAnsi="仿宋_GB2312" w:eastAsia="仿宋_GB2312" w:cs="仿宋_GB2312"/>
          <w:strike w:val="0"/>
          <w:kern w:val="2"/>
          <w:sz w:val="32"/>
          <w:szCs w:val="32"/>
          <w:u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3" w:firstLineChars="200"/>
        <w:jc w:val="both"/>
        <w:textAlignment w:val="center"/>
        <w:rPr>
          <w:rFonts w:hint="eastAsia" w:ascii="仿宋_GB2312" w:hAnsi="仿宋_GB2312" w:eastAsia="仿宋_GB2312" w:cs="仿宋_GB2312"/>
          <w:strike w:val="0"/>
          <w:color w:val="000000"/>
          <w:spacing w:val="0"/>
          <w:kern w:val="2"/>
          <w:sz w:val="32"/>
          <w:szCs w:val="32"/>
          <w:u w:val="none" w:color="auto"/>
          <w:lang w:val="en-US" w:eastAsia="zh-CN"/>
        </w:rPr>
      </w:pPr>
      <w:r>
        <w:rPr>
          <w:rFonts w:hint="eastAsia" w:ascii="仿宋_GB2312" w:hAnsi="仿宋_GB2312" w:eastAsia="仿宋_GB2312" w:cs="仿宋_GB2312"/>
          <w:b/>
          <w:bCs/>
          <w:strike w:val="0"/>
          <w:color w:val="000000"/>
          <w:spacing w:val="0"/>
          <w:kern w:val="2"/>
          <w:sz w:val="32"/>
          <w:szCs w:val="32"/>
          <w:u w:val="none" w:color="auto"/>
          <w:lang w:val="en-US" w:eastAsia="zh-CN"/>
        </w:rPr>
        <w:t>5.生态保护修复进一步推进。</w:t>
      </w:r>
      <w:r>
        <w:rPr>
          <w:rFonts w:hint="eastAsia" w:ascii="仿宋_GB2312" w:hAnsi="仿宋_GB2312" w:eastAsia="仿宋_GB2312" w:cs="仿宋_GB2312"/>
          <w:b w:val="0"/>
          <w:bCs w:val="0"/>
          <w:strike w:val="0"/>
          <w:spacing w:val="0"/>
          <w:kern w:val="2"/>
          <w:sz w:val="32"/>
          <w:szCs w:val="32"/>
          <w:u w:val="none"/>
          <w:lang w:val="en-US" w:eastAsia="zh-CN"/>
        </w:rPr>
        <w:t>深入实施国土空间生态修复规划，重点</w:t>
      </w:r>
      <w:r>
        <w:rPr>
          <w:rFonts w:hint="eastAsia" w:ascii="仿宋_GB2312" w:hAnsi="仿宋_GB2312" w:eastAsia="仿宋_GB2312" w:cs="仿宋_GB2312"/>
          <w:strike w:val="0"/>
          <w:color w:val="000000"/>
          <w:spacing w:val="0"/>
          <w:kern w:val="2"/>
          <w:sz w:val="32"/>
          <w:szCs w:val="32"/>
          <w:u w:val="none" w:color="auto"/>
          <w:lang w:val="en-US" w:eastAsia="zh-CN"/>
        </w:rPr>
        <w:t>流域</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海洋</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矿山等重要生态系统保护修复</w:t>
      </w:r>
      <w:r>
        <w:rPr>
          <w:rFonts w:hint="eastAsia" w:ascii="仿宋_GB2312" w:hAnsi="仿宋_GB2312" w:eastAsia="仿宋_GB2312" w:cs="仿宋_GB2312"/>
          <w:strike w:val="0"/>
          <w:spacing w:val="0"/>
          <w:kern w:val="2"/>
          <w:sz w:val="32"/>
          <w:szCs w:val="32"/>
          <w:u w:val="none"/>
          <w:lang w:val="en-US" w:eastAsia="zh-CN"/>
        </w:rPr>
        <w:t>持续</w:t>
      </w:r>
      <w:r>
        <w:rPr>
          <w:rFonts w:hint="eastAsia" w:ascii="仿宋_GB2312" w:hAnsi="仿宋_GB2312" w:eastAsia="仿宋_GB2312" w:cs="仿宋_GB2312"/>
          <w:strike w:val="0"/>
          <w:color w:val="000000"/>
          <w:spacing w:val="0"/>
          <w:kern w:val="2"/>
          <w:sz w:val="32"/>
          <w:szCs w:val="32"/>
          <w:u w:val="none" w:color="auto"/>
          <w:lang w:val="en-US" w:eastAsia="zh-CN"/>
        </w:rPr>
        <w:t>系统推进</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新增4个生态保护修复项目获中央财政13亿元资金支持</w:t>
      </w:r>
      <w:r>
        <w:rPr>
          <w:rFonts w:hint="eastAsia" w:ascii="仿宋_GB2312" w:hAnsi="仿宋_GB2312" w:eastAsia="仿宋_GB2312" w:cs="仿宋_GB2312"/>
          <w:strike w:val="0"/>
          <w:spacing w:val="0"/>
          <w:kern w:val="2"/>
          <w:sz w:val="32"/>
          <w:szCs w:val="32"/>
          <w:u w:val="none"/>
          <w:lang w:val="en-US" w:eastAsia="zh-CN"/>
        </w:rPr>
        <w:t>，新增4个生态保护修复项目</w:t>
      </w:r>
      <w:r>
        <w:rPr>
          <w:rFonts w:hint="eastAsia" w:ascii="仿宋_GB2312" w:hAnsi="仿宋_GB2312" w:eastAsia="仿宋_GB2312" w:cs="仿宋_GB2312"/>
          <w:strike w:val="0"/>
          <w:kern w:val="2"/>
          <w:sz w:val="32"/>
          <w:szCs w:val="32"/>
          <w:u w:val="none"/>
          <w:lang w:val="en-US" w:eastAsia="zh-CN"/>
        </w:rPr>
        <w:t>入选全国海洋生态修复、“</w:t>
      </w:r>
      <w:r>
        <w:rPr>
          <w:rFonts w:hint="eastAsia" w:ascii="仿宋_GB2312" w:hAnsi="仿宋_GB2312" w:eastAsia="仿宋_GB2312" w:cs="仿宋_GB2312"/>
          <w:strike w:val="0"/>
          <w:spacing w:val="0"/>
          <w:kern w:val="2"/>
          <w:sz w:val="32"/>
          <w:szCs w:val="32"/>
          <w:u w:val="none"/>
          <w:lang w:val="en-US" w:eastAsia="zh-CN"/>
        </w:rPr>
        <w:t>山水工程”典型案例，新增6家省级绿色矿山，</w:t>
      </w:r>
      <w:r>
        <w:rPr>
          <w:rFonts w:hint="eastAsia" w:ascii="仿宋_GB2312" w:hAnsi="仿宋_GB2312" w:eastAsia="仿宋_GB2312" w:cs="仿宋_GB2312"/>
          <w:strike w:val="0"/>
          <w:color w:val="000000"/>
          <w:spacing w:val="0"/>
          <w:kern w:val="2"/>
          <w:sz w:val="32"/>
          <w:szCs w:val="32"/>
          <w:u w:val="none" w:color="auto"/>
          <w:lang w:val="en-US" w:eastAsia="zh-CN"/>
        </w:rPr>
        <w:t>圆满完成</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十四五</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历史遗留矿山修复治理</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海洋生态保护修复目标任务和大陆自然岸线保有率管控要求</w:t>
      </w:r>
      <w:r>
        <w:rPr>
          <w:rFonts w:hint="eastAsia" w:ascii="仿宋_GB2312" w:hAnsi="仿宋_GB2312" w:eastAsia="仿宋_GB2312" w:cs="仿宋_GB2312"/>
          <w:strike w:val="0"/>
          <w:spacing w:val="0"/>
          <w:kern w:val="2"/>
          <w:sz w:val="32"/>
          <w:szCs w:val="32"/>
          <w:u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3" w:firstLineChars="200"/>
        <w:jc w:val="both"/>
        <w:textAlignment w:val="center"/>
        <w:rPr>
          <w:rFonts w:hint="eastAsia" w:ascii="仿宋_GB2312" w:hAnsi="仿宋_GB2312" w:eastAsia="仿宋_GB2312" w:cs="仿宋_GB2312"/>
          <w:strike w:val="0"/>
          <w:color w:val="000000"/>
          <w:kern w:val="2"/>
          <w:sz w:val="32"/>
          <w:szCs w:val="32"/>
          <w:u w:val="none" w:color="auto"/>
          <w:lang w:val="en-US" w:eastAsia="zh-CN"/>
        </w:rPr>
      </w:pPr>
      <w:r>
        <w:rPr>
          <w:rFonts w:hint="eastAsia" w:ascii="仿宋_GB2312" w:hAnsi="仿宋_GB2312" w:eastAsia="仿宋_GB2312" w:cs="仿宋_GB2312"/>
          <w:b/>
          <w:bCs/>
          <w:strike w:val="0"/>
          <w:color w:val="000000"/>
          <w:spacing w:val="0"/>
          <w:kern w:val="2"/>
          <w:sz w:val="32"/>
          <w:szCs w:val="32"/>
          <w:u w:val="none" w:color="auto"/>
          <w:lang w:val="en-US" w:eastAsia="zh-CN"/>
        </w:rPr>
        <w:t>6.改革创新活力进一步彰显。</w:t>
      </w:r>
      <w:r>
        <w:rPr>
          <w:rFonts w:hint="eastAsia" w:ascii="仿宋_GB2312" w:hAnsi="仿宋_GB2312" w:eastAsia="仿宋_GB2312" w:cs="仿宋_GB2312"/>
          <w:b w:val="0"/>
          <w:bCs w:val="0"/>
          <w:strike w:val="0"/>
          <w:spacing w:val="0"/>
          <w:kern w:val="2"/>
          <w:sz w:val="32"/>
          <w:szCs w:val="32"/>
          <w:u w:val="none"/>
          <w:lang w:val="en-US" w:eastAsia="zh-CN"/>
        </w:rPr>
        <w:t>纵深推进改革攻坚，</w:t>
      </w:r>
      <w:r>
        <w:rPr>
          <w:rFonts w:hint="eastAsia" w:ascii="仿宋_GB2312" w:hAnsi="仿宋_GB2312" w:eastAsia="仿宋_GB2312" w:cs="仿宋_GB2312"/>
          <w:strike w:val="0"/>
          <w:color w:val="000000"/>
          <w:kern w:val="2"/>
          <w:sz w:val="32"/>
          <w:szCs w:val="32"/>
          <w:u w:val="none" w:color="auto"/>
          <w:lang w:val="en-US" w:eastAsia="zh-CN"/>
        </w:rPr>
        <w:t>低效用地再开发试点提质扩面</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4个设区市新增纳入试点</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trike w:val="0"/>
          <w:color w:val="000000"/>
          <w:kern w:val="2"/>
          <w:sz w:val="32"/>
          <w:szCs w:val="32"/>
          <w:u w:val="none" w:color="auto"/>
          <w:lang w:eastAsia="zh-CN"/>
        </w:rPr>
        <w:t>用地用林用草用海联动审批试点取得积极成效</w:t>
      </w:r>
      <w:r>
        <w:rPr>
          <w:rFonts w:hint="eastAsia" w:ascii="仿宋_GB2312" w:hAnsi="仿宋_GB2312" w:eastAsia="仿宋_GB2312" w:cs="仿宋_GB2312"/>
          <w:strike w:val="0"/>
          <w:kern w:val="2"/>
          <w:sz w:val="32"/>
          <w:szCs w:val="32"/>
          <w:u w:val="none"/>
          <w:lang w:eastAsia="zh-CN"/>
        </w:rPr>
        <w:t>，</w:t>
      </w:r>
      <w:r>
        <w:rPr>
          <w:rFonts w:hint="eastAsia" w:ascii="仿宋_GB2312" w:hAnsi="仿宋_GB2312" w:eastAsia="仿宋_GB2312" w:cs="仿宋_GB2312"/>
          <w:strike w:val="0"/>
          <w:color w:val="000000"/>
          <w:kern w:val="2"/>
          <w:sz w:val="32"/>
          <w:szCs w:val="32"/>
          <w:u w:val="none" w:color="auto"/>
          <w:lang w:val="en-US" w:eastAsia="zh-CN"/>
        </w:rPr>
        <w:t>报批</w:t>
      </w:r>
      <w:r>
        <w:rPr>
          <w:rFonts w:hint="eastAsia" w:ascii="仿宋_GB2312" w:hAnsi="仿宋_GB2312" w:eastAsia="仿宋_GB2312" w:cs="仿宋_GB2312"/>
          <w:strike w:val="0"/>
          <w:kern w:val="2"/>
          <w:sz w:val="32"/>
          <w:szCs w:val="32"/>
          <w:u w:val="none"/>
          <w:lang w:val="en-US" w:eastAsia="zh-CN"/>
        </w:rPr>
        <w:t>时</w:t>
      </w:r>
      <w:r>
        <w:rPr>
          <w:rFonts w:hint="eastAsia" w:ascii="仿宋_GB2312" w:hAnsi="仿宋_GB2312" w:eastAsia="仿宋_GB2312" w:cs="仿宋_GB2312"/>
          <w:strike w:val="0"/>
          <w:color w:val="000000"/>
          <w:kern w:val="2"/>
          <w:sz w:val="32"/>
          <w:szCs w:val="32"/>
          <w:u w:val="none" w:color="auto"/>
          <w:lang w:val="en-US" w:eastAsia="zh-CN"/>
        </w:rPr>
        <w:t>效明显提升</w:t>
      </w:r>
      <w:r>
        <w:rPr>
          <w:rFonts w:hint="eastAsia" w:ascii="仿宋_GB2312" w:hAnsi="仿宋_GB2312" w:eastAsia="仿宋_GB2312" w:cs="仿宋_GB2312"/>
          <w:strike w:val="0"/>
          <w:kern w:val="2"/>
          <w:sz w:val="32"/>
          <w:szCs w:val="32"/>
          <w:u w:val="none"/>
          <w:lang w:val="en-US" w:eastAsia="zh-CN"/>
        </w:rPr>
        <w:t>。自然资源统一确权登记有新突破，完成首宗水流自然资源公告登簿。二手房转移登记“一件事”持续优化升级，</w:t>
      </w:r>
      <w:r>
        <w:rPr>
          <w:rFonts w:hint="eastAsia" w:ascii="仿宋_GB2312" w:hAnsi="仿宋_GB2312" w:eastAsia="仿宋_GB2312" w:cs="仿宋_GB2312"/>
          <w:strike w:val="0"/>
          <w:color w:val="000000"/>
          <w:kern w:val="2"/>
          <w:sz w:val="32"/>
          <w:szCs w:val="32"/>
          <w:u w:val="none" w:color="auto"/>
          <w:lang w:val="en-US" w:eastAsia="zh-CN"/>
        </w:rPr>
        <w:t>在全国率先实现不动产登记“税费同缴”服务省域全覆盖</w:t>
      </w:r>
      <w:r>
        <w:rPr>
          <w:rFonts w:hint="eastAsia" w:ascii="仿宋_GB2312" w:hAnsi="仿宋_GB2312" w:eastAsia="仿宋_GB2312" w:cs="仿宋_GB2312"/>
          <w:strike w:val="0"/>
          <w:kern w:val="2"/>
          <w:sz w:val="32"/>
          <w:szCs w:val="32"/>
          <w:u w:val="none"/>
          <w:lang w:val="en-US" w:eastAsia="zh-CN"/>
        </w:rPr>
        <w:t>。</w:t>
      </w:r>
      <w:r>
        <w:rPr>
          <w:rFonts w:hint="eastAsia" w:ascii="仿宋_GB2312" w:hAnsi="仿宋_GB2312" w:eastAsia="仿宋_GB2312" w:cs="仿宋_GB2312"/>
          <w:strike w:val="0"/>
          <w:color w:val="000000"/>
          <w:kern w:val="2"/>
          <w:sz w:val="32"/>
          <w:szCs w:val="32"/>
          <w:u w:val="none" w:color="auto"/>
          <w:lang w:val="en-US" w:eastAsia="zh-CN"/>
        </w:rPr>
        <w:t>混合产业用地成片综合开发、海域使用权立体分层设权等5项</w:t>
      </w:r>
      <w:r>
        <w:rPr>
          <w:rFonts w:hint="eastAsia" w:ascii="仿宋_GB2312" w:hAnsi="仿宋_GB2312" w:eastAsia="仿宋_GB2312" w:cs="仿宋_GB2312"/>
          <w:strike w:val="0"/>
          <w:kern w:val="2"/>
          <w:sz w:val="32"/>
          <w:szCs w:val="32"/>
          <w:u w:val="none"/>
          <w:lang w:val="en-US" w:eastAsia="zh-CN"/>
        </w:rPr>
        <w:t>做法</w:t>
      </w:r>
      <w:r>
        <w:rPr>
          <w:rFonts w:hint="eastAsia" w:ascii="仿宋_GB2312" w:hAnsi="仿宋_GB2312" w:eastAsia="仿宋_GB2312" w:cs="仿宋_GB2312"/>
          <w:strike w:val="0"/>
          <w:color w:val="000000"/>
          <w:kern w:val="2"/>
          <w:sz w:val="32"/>
          <w:szCs w:val="32"/>
          <w:u w:val="none" w:color="auto"/>
          <w:lang w:val="en-US" w:eastAsia="zh-CN"/>
        </w:rPr>
        <w:t>入选福建自贸试验区创新举措</w:t>
      </w:r>
      <w:r>
        <w:rPr>
          <w:rFonts w:hint="eastAsia" w:ascii="仿宋_GB2312" w:hAnsi="仿宋_GB2312" w:eastAsia="仿宋_GB2312" w:cs="仿宋_GB2312"/>
          <w:strike w:val="0"/>
          <w:kern w:val="2"/>
          <w:sz w:val="32"/>
          <w:szCs w:val="32"/>
          <w:u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3" w:firstLineChars="200"/>
        <w:jc w:val="both"/>
        <w:textAlignment w:val="center"/>
        <w:rPr>
          <w:rFonts w:hint="eastAsia" w:ascii="仿宋_GB2312" w:hAnsi="仿宋_GB2312" w:eastAsia="仿宋_GB2312" w:cs="仿宋_GB2312"/>
          <w:strike w:val="0"/>
          <w:color w:val="000000"/>
          <w:spacing w:val="0"/>
          <w:kern w:val="2"/>
          <w:sz w:val="32"/>
          <w:szCs w:val="32"/>
          <w:u w:val="none" w:color="auto"/>
          <w:lang w:val="en-US" w:eastAsia="zh-CN"/>
        </w:rPr>
      </w:pPr>
      <w:r>
        <w:rPr>
          <w:rFonts w:hint="eastAsia" w:ascii="仿宋_GB2312" w:hAnsi="仿宋_GB2312" w:eastAsia="仿宋_GB2312" w:cs="仿宋_GB2312"/>
          <w:b/>
          <w:bCs/>
          <w:strike w:val="0"/>
          <w:color w:val="000000"/>
          <w:spacing w:val="0"/>
          <w:kern w:val="2"/>
          <w:sz w:val="32"/>
          <w:szCs w:val="32"/>
          <w:u w:val="none" w:color="auto"/>
          <w:lang w:val="en-US" w:eastAsia="zh-CN"/>
        </w:rPr>
        <w:t>7.基础支撑体系进一步稳固。</w:t>
      </w:r>
      <w:r>
        <w:rPr>
          <w:rFonts w:hint="eastAsia" w:ascii="仿宋_GB2312" w:hAnsi="仿宋_GB2312" w:eastAsia="仿宋_GB2312" w:cs="仿宋_GB2312"/>
          <w:b w:val="0"/>
          <w:bCs w:val="0"/>
          <w:strike w:val="0"/>
          <w:spacing w:val="0"/>
          <w:kern w:val="2"/>
          <w:sz w:val="32"/>
          <w:szCs w:val="32"/>
          <w:u w:val="none"/>
          <w:lang w:val="en-US" w:eastAsia="zh-CN"/>
        </w:rPr>
        <w:t>持续夯实自然资源管理基础，</w:t>
      </w:r>
      <w:r>
        <w:rPr>
          <w:rFonts w:hint="eastAsia" w:ascii="仿宋_GB2312" w:hAnsi="仿宋_GB2312" w:eastAsia="仿宋_GB2312" w:cs="仿宋_GB2312"/>
          <w:strike w:val="0"/>
          <w:color w:val="000000"/>
          <w:spacing w:val="0"/>
          <w:kern w:val="2"/>
          <w:sz w:val="32"/>
          <w:szCs w:val="32"/>
          <w:u w:val="none" w:color="auto"/>
          <w:lang w:val="en-US" w:eastAsia="zh-CN"/>
        </w:rPr>
        <w:t>完成年度国土变更调查</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林草湿荒</w:t>
      </w:r>
      <w:r>
        <w:rPr>
          <w:rFonts w:hint="eastAsia" w:ascii="仿宋_GB2312" w:hAnsi="仿宋_GB2312" w:eastAsia="仿宋_GB2312" w:cs="仿宋_GB2312"/>
          <w:strike w:val="0"/>
          <w:spacing w:val="0"/>
          <w:kern w:val="2"/>
          <w:sz w:val="32"/>
          <w:szCs w:val="32"/>
          <w:u w:val="none"/>
          <w:lang w:val="en-US" w:eastAsia="zh-CN"/>
        </w:rPr>
        <w:t>调查监测、</w:t>
      </w:r>
      <w:r>
        <w:rPr>
          <w:rFonts w:hint="eastAsia" w:ascii="仿宋_GB2312" w:hAnsi="仿宋_GB2312" w:eastAsia="仿宋_GB2312" w:cs="仿宋_GB2312"/>
          <w:strike w:val="0"/>
          <w:color w:val="000000"/>
          <w:spacing w:val="0"/>
          <w:kern w:val="2"/>
          <w:sz w:val="32"/>
          <w:szCs w:val="32"/>
          <w:u w:val="none" w:color="auto"/>
          <w:lang w:val="en-US" w:eastAsia="zh-CN"/>
        </w:rPr>
        <w:t>城市国土空间监测</w:t>
      </w:r>
      <w:r>
        <w:rPr>
          <w:rFonts w:hint="eastAsia" w:ascii="仿宋_GB2312" w:hAnsi="仿宋_GB2312" w:eastAsia="仿宋_GB2312" w:cs="仿宋_GB2312"/>
          <w:strike w:val="0"/>
          <w:spacing w:val="0"/>
          <w:kern w:val="2"/>
          <w:sz w:val="32"/>
          <w:szCs w:val="32"/>
          <w:u w:val="none"/>
          <w:lang w:val="en-US" w:eastAsia="zh-CN"/>
        </w:rPr>
        <w:t>、水资源基础调查</w:t>
      </w:r>
      <w:r>
        <w:rPr>
          <w:rFonts w:hint="eastAsia" w:ascii="仿宋_GB2312" w:hAnsi="仿宋_GB2312" w:eastAsia="仿宋_GB2312" w:cs="仿宋_GB2312"/>
          <w:strike w:val="0"/>
          <w:color w:val="000000"/>
          <w:spacing w:val="0"/>
          <w:kern w:val="2"/>
          <w:sz w:val="32"/>
          <w:szCs w:val="32"/>
          <w:u w:val="none" w:color="auto"/>
          <w:lang w:val="en-US" w:eastAsia="zh-CN"/>
        </w:rPr>
        <w:t>等基础性工作</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实现1</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5万区域地质调查</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1</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10万海岸带综合地质调查全覆盖</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福建省测绘地理信息条例</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颁布实施</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实景三维福建初步建成</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z w:val="32"/>
          <w:szCs w:val="32"/>
        </w:rPr>
        <w:t>实现省级86座卫星导航定位基准站北斗化升级改造全覆盖</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大棚房</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违建别墅</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新增农村乱占耕地建房等问题常态长效监管机制更加健全</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历年</w:t>
      </w:r>
      <w:r>
        <w:rPr>
          <w:rFonts w:hint="eastAsia" w:ascii="仿宋_GB2312" w:hAnsi="仿宋_GB2312" w:eastAsia="仿宋_GB2312" w:cs="仿宋_GB2312"/>
          <w:strike w:val="0"/>
          <w:spacing w:val="0"/>
          <w:kern w:val="2"/>
          <w:sz w:val="32"/>
          <w:szCs w:val="32"/>
          <w:u w:val="none"/>
          <w:lang w:val="en-US" w:eastAsia="zh-CN"/>
        </w:rPr>
        <w:t>国家自然资源</w:t>
      </w:r>
      <w:r>
        <w:rPr>
          <w:rFonts w:hint="eastAsia" w:ascii="仿宋_GB2312" w:hAnsi="仿宋_GB2312" w:eastAsia="仿宋_GB2312" w:cs="仿宋_GB2312"/>
          <w:strike w:val="0"/>
          <w:color w:val="000000"/>
          <w:spacing w:val="0"/>
          <w:kern w:val="2"/>
          <w:sz w:val="32"/>
          <w:szCs w:val="32"/>
          <w:u w:val="none" w:color="auto"/>
          <w:lang w:val="en-US" w:eastAsia="zh-CN"/>
        </w:rPr>
        <w:t>例行督察</w:t>
      </w:r>
      <w:r>
        <w:rPr>
          <w:rFonts w:hint="eastAsia" w:ascii="仿宋_GB2312" w:hAnsi="仿宋_GB2312" w:eastAsia="仿宋_GB2312" w:cs="仿宋_GB2312"/>
          <w:strike w:val="0"/>
          <w:spacing w:val="0"/>
          <w:kern w:val="2"/>
          <w:sz w:val="32"/>
          <w:szCs w:val="32"/>
          <w:u w:val="none"/>
          <w:lang w:val="en-US" w:eastAsia="zh-CN"/>
        </w:rPr>
        <w:t>反馈</w:t>
      </w:r>
      <w:r>
        <w:rPr>
          <w:rFonts w:hint="eastAsia" w:ascii="仿宋_GB2312" w:hAnsi="仿宋_GB2312" w:eastAsia="仿宋_GB2312" w:cs="仿宋_GB2312"/>
          <w:strike w:val="0"/>
          <w:color w:val="000000"/>
          <w:spacing w:val="0"/>
          <w:kern w:val="2"/>
          <w:sz w:val="32"/>
          <w:szCs w:val="32"/>
          <w:u w:val="none" w:color="auto"/>
          <w:lang w:val="en-US" w:eastAsia="zh-CN"/>
        </w:rPr>
        <w:t>问题整改率达99%</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执法监管向好态势持续巩固</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连续6年被省政府评为</w:t>
      </w:r>
      <w:r>
        <w:rPr>
          <w:rFonts w:hint="eastAsia" w:ascii="仿宋_GB2312" w:hAnsi="仿宋_GB2312" w:eastAsia="仿宋_GB2312" w:cs="仿宋_GB2312"/>
          <w:sz w:val="32"/>
          <w:szCs w:val="32"/>
        </w:rPr>
        <w:t>完成安全生产责任制目标优秀单位</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全年未发生因</w:t>
      </w:r>
      <w:r>
        <w:rPr>
          <w:rFonts w:hint="eastAsia" w:ascii="仿宋_GB2312" w:hAnsi="仿宋_GB2312" w:eastAsia="仿宋_GB2312" w:cs="仿宋_GB2312"/>
          <w:strike w:val="0"/>
          <w:spacing w:val="0"/>
          <w:kern w:val="2"/>
          <w:sz w:val="32"/>
          <w:szCs w:val="32"/>
          <w:u w:val="none"/>
          <w:lang w:val="en-US" w:eastAsia="zh-CN"/>
        </w:rPr>
        <w:t>地质灾害</w:t>
      </w:r>
      <w:r>
        <w:rPr>
          <w:rFonts w:hint="eastAsia" w:ascii="仿宋_GB2312" w:hAnsi="仿宋_GB2312" w:eastAsia="仿宋_GB2312" w:cs="仿宋_GB2312"/>
          <w:strike w:val="0"/>
          <w:color w:val="000000"/>
          <w:spacing w:val="0"/>
          <w:kern w:val="2"/>
          <w:sz w:val="32"/>
          <w:szCs w:val="32"/>
          <w:u w:val="none" w:color="auto"/>
          <w:lang w:val="en-US" w:eastAsia="zh-CN"/>
        </w:rPr>
        <w:t>造成的人员伤亡</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安全防线筑牢守稳</w:t>
      </w:r>
      <w:r>
        <w:rPr>
          <w:rFonts w:hint="eastAsia" w:ascii="仿宋_GB2312" w:hAnsi="仿宋_GB2312" w:eastAsia="仿宋_GB2312" w:cs="仿宋_GB2312"/>
          <w:strike w:val="0"/>
          <w:spacing w:val="0"/>
          <w:kern w:val="2"/>
          <w:sz w:val="32"/>
          <w:szCs w:val="32"/>
          <w:u w:val="none"/>
          <w:lang w:val="en-US" w:eastAsia="zh-CN"/>
        </w:rPr>
        <w:t>，</w:t>
      </w:r>
      <w:r>
        <w:rPr>
          <w:rFonts w:hint="eastAsia" w:ascii="仿宋_GB2312" w:hAnsi="仿宋_GB2312" w:eastAsia="仿宋_GB2312" w:cs="仿宋_GB2312"/>
          <w:strike w:val="0"/>
          <w:color w:val="000000"/>
          <w:spacing w:val="0"/>
          <w:kern w:val="2"/>
          <w:sz w:val="32"/>
          <w:szCs w:val="32"/>
          <w:u w:val="none" w:color="auto"/>
          <w:lang w:val="en-US" w:eastAsia="zh-CN"/>
        </w:rPr>
        <w:t>信访化解攻坚取得实效</w:t>
      </w:r>
      <w:r>
        <w:rPr>
          <w:rFonts w:hint="eastAsia" w:ascii="仿宋_GB2312" w:hAnsi="仿宋_GB2312" w:eastAsia="仿宋_GB2312" w:cs="仿宋_GB2312"/>
          <w:strike w:val="0"/>
          <w:spacing w:val="0"/>
          <w:kern w:val="2"/>
          <w:sz w:val="32"/>
          <w:szCs w:val="32"/>
          <w:u w:val="none"/>
          <w:lang w:val="en-US" w:eastAsia="zh-CN"/>
        </w:rPr>
        <w:t>。</w:t>
      </w:r>
    </w:p>
    <w:p>
      <w:pPr>
        <w:widowControl/>
        <w:spacing w:line="240" w:lineRule="auto"/>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rPr>
          <w:rFonts w:ascii="黑体" w:hAnsi="黑体" w:eastAsia="黑体"/>
          <w:sz w:val="56"/>
          <w:szCs w:val="36"/>
          <w:highlight w:val="none"/>
          <w:lang w:eastAsia="zh-CN"/>
        </w:rPr>
      </w:pPr>
      <w:r>
        <w:rPr>
          <w:rFonts w:hint="eastAsia" w:ascii="黑体" w:hAnsi="黑体" w:eastAsia="黑体"/>
          <w:sz w:val="56"/>
          <w:szCs w:val="36"/>
          <w:highlight w:val="none"/>
          <w:lang w:eastAsia="zh-CN"/>
        </w:rPr>
        <w:t>第二部分</w:t>
      </w:r>
      <w:r>
        <w:rPr>
          <w:rFonts w:ascii="黑体" w:hAnsi="黑体" w:eastAsia="黑体"/>
          <w:sz w:val="56"/>
          <w:szCs w:val="36"/>
          <w:highlight w:val="none"/>
          <w:lang w:eastAsia="zh-CN"/>
        </w:rPr>
        <w:t xml:space="preserve"> </w:t>
      </w:r>
    </w:p>
    <w:p>
      <w:pPr>
        <w:pStyle w:val="5"/>
        <w:jc w:val="center"/>
        <w:rPr>
          <w:rFonts w:ascii="黑体" w:hAnsi="黑体" w:eastAsia="黑体"/>
          <w:sz w:val="56"/>
          <w:szCs w:val="36"/>
          <w:highlight w:val="none"/>
          <w:lang w:eastAsia="zh-CN"/>
        </w:rPr>
      </w:pPr>
      <w:r>
        <w:rPr>
          <w:rFonts w:hint="eastAsia" w:ascii="黑体" w:hAnsi="黑体" w:eastAsia="黑体"/>
          <w:sz w:val="56"/>
          <w:szCs w:val="36"/>
          <w:highlight w:val="none"/>
          <w:lang w:eastAsia="zh-CN"/>
        </w:rPr>
        <w:t>2025年度单位决算表</w:t>
      </w:r>
    </w:p>
    <w:p>
      <w:pPr>
        <w:jc w:val="left"/>
        <w:rPr>
          <w:rFonts w:ascii="黑体" w:hAnsi="仿宋" w:eastAsia="黑体"/>
          <w:sz w:val="32"/>
          <w:szCs w:val="32"/>
          <w:highlight w:val="none"/>
        </w:rPr>
      </w:pPr>
    </w:p>
    <w:p>
      <w:pPr>
        <w:widowControl/>
        <w:spacing w:line="240" w:lineRule="auto"/>
        <w:jc w:val="left"/>
        <w:rPr>
          <w:rFonts w:ascii="黑体" w:hAnsi="仿宋" w:eastAsia="黑体"/>
          <w:sz w:val="32"/>
          <w:szCs w:val="32"/>
          <w:highlight w:val="none"/>
        </w:rPr>
      </w:pPr>
      <w:r>
        <w:rPr>
          <w:rFonts w:ascii="黑体" w:hAnsi="仿宋" w:eastAsia="黑体"/>
          <w:sz w:val="32"/>
          <w:szCs w:val="32"/>
          <w:highlight w:val="none"/>
        </w:rPr>
        <w:br w:type="page"/>
      </w:r>
    </w:p>
    <w:p>
      <w:pPr>
        <w:jc w:val="left"/>
        <w:rPr>
          <w:rFonts w:ascii="黑体" w:hAnsi="仿宋" w:eastAsia="黑体"/>
          <w:sz w:val="32"/>
          <w:szCs w:val="32"/>
          <w:highlight w:val="none"/>
        </w:rPr>
      </w:pPr>
      <w:r>
        <w:rPr>
          <w:rFonts w:hint="eastAsia" w:ascii="黑体" w:hAnsi="仿宋" w:eastAsia="黑体"/>
          <w:sz w:val="32"/>
          <w:szCs w:val="32"/>
          <w:highlight w:val="none"/>
        </w:rPr>
        <w:t xml:space="preserve">一、收入支出决算总表 </w:t>
      </w:r>
    </w:p>
    <w:tbl>
      <w:tblPr>
        <w:tblStyle w:val="9"/>
        <w:tblW w:w="88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512"/>
        <w:gridCol w:w="1022"/>
        <w:gridCol w:w="3015"/>
        <w:gridCol w:w="13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8874" w:type="dxa"/>
            <w:gridSpan w:val="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36"/>
                <w:szCs w:val="36"/>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4534"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01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325"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4534"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编制单位：福建省自然资源厅（本级）</w:t>
            </w:r>
          </w:p>
        </w:tc>
        <w:tc>
          <w:tcPr>
            <w:tcW w:w="3015"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2025年度</w:t>
            </w:r>
          </w:p>
        </w:tc>
        <w:tc>
          <w:tcPr>
            <w:tcW w:w="1325"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45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434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项目(按支出功能分类)</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11,524.02</w:t>
            </w: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一、一般公共服务支出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二、外交支出 </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1,620.08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9,780.33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11,524.02</w:t>
            </w:r>
          </w:p>
        </w:tc>
        <w:tc>
          <w:tcPr>
            <w:tcW w:w="30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12,096.91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0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3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 </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2,937.27</w:t>
            </w: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 </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2,364.38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1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总计</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14,461.29</w:t>
            </w:r>
          </w:p>
        </w:tc>
        <w:tc>
          <w:tcPr>
            <w:tcW w:w="301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总计</w:t>
            </w:r>
          </w:p>
        </w:tc>
        <w:tc>
          <w:tcPr>
            <w:tcW w:w="13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14,461.29</w:t>
            </w:r>
          </w:p>
        </w:tc>
      </w:tr>
    </w:tbl>
    <w:p>
      <w:pPr>
        <w:pStyle w:val="16"/>
        <w:rPr>
          <w:rFonts w:ascii="Times New Roman" w:hAnsi="Times New Roman" w:eastAsia="宋体" w:cs="Times New Roman"/>
          <w:highlight w:val="none"/>
        </w:rPr>
      </w:pPr>
      <w:r>
        <w:rPr>
          <w:rFonts w:hint="eastAsia" w:ascii="Times New Roman" w:hAnsi="Times New Roman" w:eastAsia="宋体" w:cs="Times New Roman"/>
          <w:highlight w:val="none"/>
        </w:rPr>
        <w:t>注：1. 本表反映</w:t>
      </w:r>
      <w:r>
        <w:rPr>
          <w:rFonts w:hint="eastAsia" w:ascii="Times New Roman" w:hAnsi="Times New Roman" w:eastAsia="宋体" w:cs="Times New Roman"/>
          <w:highlight w:val="none"/>
          <w:lang w:eastAsia="zh-CN"/>
        </w:rPr>
        <w:t>单位</w:t>
      </w:r>
      <w:r>
        <w:rPr>
          <w:rFonts w:hint="eastAsia" w:ascii="Times New Roman" w:hAnsi="Times New Roman" w:eastAsia="宋体" w:cs="Times New Roman"/>
          <w:highlight w:val="none"/>
        </w:rPr>
        <w:t>本年度的总收支和年末结转结余情况。</w:t>
      </w:r>
    </w:p>
    <w:p>
      <w:pPr>
        <w:pStyle w:val="16"/>
        <w:ind w:firstLine="480" w:firstLineChars="200"/>
        <w:rPr>
          <w:rFonts w:ascii="Times New Roman" w:hAnsi="Times New Roman" w:eastAsia="宋体" w:cs="Times New Roman"/>
          <w:highlight w:val="none"/>
        </w:rPr>
      </w:pPr>
      <w:r>
        <w:rPr>
          <w:rFonts w:hint="eastAsia" w:ascii="Times New Roman" w:hAnsi="Times New Roman" w:eastAsia="宋体" w:cs="Times New Roman"/>
          <w:highlight w:val="none"/>
        </w:rPr>
        <w:t>2.</w:t>
      </w:r>
      <w:r>
        <w:rPr>
          <w:rFonts w:hint="eastAsia"/>
          <w:highlight w:val="none"/>
        </w:rPr>
        <w:t xml:space="preserve"> </w:t>
      </w:r>
      <w:r>
        <w:rPr>
          <w:rFonts w:hint="eastAsia" w:ascii="Times New Roman" w:hAnsi="Times New Roman" w:eastAsia="宋体" w:cs="Times New Roman"/>
          <w:highlight w:val="none"/>
        </w:rPr>
        <w:t>本套报表金额单位转换时可能存在尾数误差。</w:t>
      </w:r>
    </w:p>
    <w:p>
      <w:pPr>
        <w:widowControl/>
        <w:spacing w:line="240" w:lineRule="auto"/>
        <w:jc w:val="left"/>
        <w:rPr>
          <w:rFonts w:ascii="黑体" w:hAnsi="仿宋" w:eastAsia="黑体"/>
          <w:sz w:val="32"/>
          <w:szCs w:val="32"/>
          <w:highlight w:val="none"/>
        </w:rPr>
      </w:pPr>
      <w:r>
        <w:rPr>
          <w:rFonts w:ascii="黑体" w:hAnsi="仿宋" w:eastAsia="黑体"/>
          <w:sz w:val="32"/>
          <w:szCs w:val="32"/>
          <w:highlight w:val="none"/>
        </w:rPr>
        <w:br w:type="page"/>
      </w:r>
    </w:p>
    <w:p>
      <w:pPr>
        <w:jc w:val="left"/>
        <w:rPr>
          <w:rFonts w:ascii="黑体" w:hAnsi="仿宋" w:eastAsia="黑体"/>
          <w:sz w:val="32"/>
          <w:szCs w:val="32"/>
          <w:highlight w:val="none"/>
        </w:rPr>
      </w:pPr>
      <w:r>
        <w:rPr>
          <w:rFonts w:hint="eastAsia" w:ascii="黑体" w:hAnsi="仿宋" w:eastAsia="黑体"/>
          <w:sz w:val="32"/>
          <w:szCs w:val="32"/>
          <w:highlight w:val="none"/>
        </w:rPr>
        <w:t xml:space="preserve">二、收入决算表 </w:t>
      </w:r>
    </w:p>
    <w:tbl>
      <w:tblPr>
        <w:tblStyle w:val="9"/>
        <w:tblW w:w="9484" w:type="dxa"/>
        <w:tblInd w:w="-1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05"/>
        <w:gridCol w:w="240"/>
        <w:gridCol w:w="278"/>
        <w:gridCol w:w="2104"/>
        <w:gridCol w:w="952"/>
        <w:gridCol w:w="952"/>
        <w:gridCol w:w="580"/>
        <w:gridCol w:w="579"/>
        <w:gridCol w:w="579"/>
        <w:gridCol w:w="750"/>
        <w:gridCol w:w="5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9484"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36"/>
                <w:szCs w:val="36"/>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145"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1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5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8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7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94"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905"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编制单位：福建省自然资源厅（本级）</w:t>
            </w:r>
          </w:p>
        </w:tc>
        <w:tc>
          <w:tcPr>
            <w:tcW w:w="24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10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904"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2025年度</w:t>
            </w:r>
          </w:p>
        </w:tc>
        <w:tc>
          <w:tcPr>
            <w:tcW w:w="58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7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94"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45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95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95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财政拨款收入 </w:t>
            </w:r>
          </w:p>
        </w:tc>
        <w:tc>
          <w:tcPr>
            <w:tcW w:w="580"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57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57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750"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56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210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95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5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0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5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5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8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9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2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27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11,524.02</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11,524.02</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20132</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组织事务</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2013202</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一般行政管理事务</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1,637.70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1,637.70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人力资源和社会保障管理事务</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2080199</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其他人力资源和社会保障管理事务支出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1,039.89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1,039.89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2080501</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行政单位离退休</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623.64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623.64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332.25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332.25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机关事业单位职业年金缴费支出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84.00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84.00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47.41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47.41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2080801</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死亡抚恤</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47.41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47.41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198.85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198.85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198.85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198.85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行政单位医疗</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198.85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198.85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自然资源海洋气象等支出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9,164.60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9,164.60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自然资源事务</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9,164.60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9,164.60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2200101</w:t>
            </w:r>
          </w:p>
        </w:tc>
        <w:tc>
          <w:tcPr>
            <w:tcW w:w="2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行政运行</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3,312.05 </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3,312.05 </w:t>
            </w:r>
          </w:p>
        </w:tc>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2200102</w:t>
            </w:r>
          </w:p>
        </w:tc>
        <w:tc>
          <w:tcPr>
            <w:tcW w:w="2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一般行政管理事务</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1,568.69 </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1,568.69 </w:t>
            </w:r>
          </w:p>
        </w:tc>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2200104</w:t>
            </w:r>
          </w:p>
        </w:tc>
        <w:tc>
          <w:tcPr>
            <w:tcW w:w="2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自然资源规划及管理</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66.50 </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66.50 </w:t>
            </w:r>
          </w:p>
        </w:tc>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2200106</w:t>
            </w:r>
          </w:p>
        </w:tc>
        <w:tc>
          <w:tcPr>
            <w:tcW w:w="21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自然资源利用与保护</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315.70 </w:t>
            </w:r>
          </w:p>
        </w:tc>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315.70 </w:t>
            </w:r>
          </w:p>
        </w:tc>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2200107</w:t>
            </w:r>
          </w:p>
        </w:tc>
        <w:tc>
          <w:tcPr>
            <w:tcW w:w="210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自然资源社会公益服务</w:t>
            </w:r>
          </w:p>
        </w:tc>
        <w:tc>
          <w:tcPr>
            <w:tcW w:w="9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760.00 </w:t>
            </w:r>
          </w:p>
        </w:tc>
        <w:tc>
          <w:tcPr>
            <w:tcW w:w="9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760.00 </w:t>
            </w:r>
          </w:p>
        </w:tc>
        <w:tc>
          <w:tcPr>
            <w:tcW w:w="5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2200114</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地质勘查与矿产资源管理</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689.55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689.55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2200120</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海域与海岛管理</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910.05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910.05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2200199</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其他自然资源事务支出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1,542.06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1,542.06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445.15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445.15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423"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2210202</w:t>
            </w:r>
          </w:p>
        </w:tc>
        <w:tc>
          <w:tcPr>
            <w:tcW w:w="210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提租补贴</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57.72 </w:t>
            </w:r>
          </w:p>
        </w:tc>
        <w:tc>
          <w:tcPr>
            <w:tcW w:w="95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57.72 </w:t>
            </w:r>
          </w:p>
        </w:tc>
        <w:tc>
          <w:tcPr>
            <w:tcW w:w="5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pStyle w:val="16"/>
        <w:rPr>
          <w:rFonts w:ascii="Times New Roman" w:hAnsi="Times New Roman" w:eastAsia="宋体" w:cs="Times New Roman"/>
          <w:highlight w:val="none"/>
        </w:rPr>
      </w:pPr>
      <w:r>
        <w:rPr>
          <w:rFonts w:hint="eastAsia" w:ascii="Times New Roman" w:hAnsi="Times New Roman" w:eastAsia="宋体" w:cs="Times New Roman"/>
          <w:highlight w:val="none"/>
        </w:rPr>
        <w:t>注：本表反映</w:t>
      </w:r>
      <w:r>
        <w:rPr>
          <w:rFonts w:hint="eastAsia" w:ascii="Times New Roman" w:hAnsi="Times New Roman" w:eastAsia="宋体" w:cs="Times New Roman"/>
          <w:highlight w:val="none"/>
          <w:lang w:eastAsia="zh-CN"/>
        </w:rPr>
        <w:t>单位</w:t>
      </w:r>
      <w:r>
        <w:rPr>
          <w:rFonts w:hint="eastAsia" w:ascii="Times New Roman" w:hAnsi="Times New Roman" w:eastAsia="宋体" w:cs="Times New Roman"/>
          <w:highlight w:val="none"/>
        </w:rPr>
        <w:t>本年度取得的各项收入情况。</w:t>
      </w:r>
    </w:p>
    <w:p>
      <w:pPr>
        <w:widowControl/>
        <w:spacing w:line="240" w:lineRule="auto"/>
        <w:jc w:val="left"/>
        <w:rPr>
          <w:rFonts w:ascii="黑体" w:hAnsi="仿宋" w:eastAsia="黑体"/>
          <w:sz w:val="32"/>
          <w:szCs w:val="32"/>
          <w:highlight w:val="none"/>
        </w:rPr>
      </w:pPr>
      <w:r>
        <w:rPr>
          <w:rFonts w:ascii="黑体" w:hAnsi="仿宋" w:eastAsia="黑体"/>
          <w:sz w:val="32"/>
          <w:szCs w:val="32"/>
          <w:highlight w:val="none"/>
        </w:rPr>
        <w:br w:type="page"/>
      </w:r>
    </w:p>
    <w:p>
      <w:pPr>
        <w:jc w:val="left"/>
        <w:rPr>
          <w:rFonts w:ascii="黑体" w:hAnsi="仿宋" w:eastAsia="黑体"/>
          <w:sz w:val="32"/>
          <w:szCs w:val="32"/>
          <w:highlight w:val="none"/>
        </w:rPr>
      </w:pPr>
      <w:r>
        <w:rPr>
          <w:rFonts w:hint="eastAsia" w:ascii="黑体" w:hAnsi="仿宋" w:eastAsia="黑体"/>
          <w:sz w:val="32"/>
          <w:szCs w:val="32"/>
          <w:highlight w:val="none"/>
        </w:rPr>
        <w:t>三、支出决算表</w:t>
      </w:r>
    </w:p>
    <w:tbl>
      <w:tblPr>
        <w:tblStyle w:val="9"/>
        <w:tblW w:w="88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89"/>
        <w:gridCol w:w="389"/>
        <w:gridCol w:w="389"/>
        <w:gridCol w:w="2027"/>
        <w:gridCol w:w="1014"/>
        <w:gridCol w:w="935"/>
        <w:gridCol w:w="935"/>
        <w:gridCol w:w="935"/>
        <w:gridCol w:w="926"/>
        <w:gridCol w:w="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8871"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36"/>
                <w:szCs w:val="36"/>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194" w:type="dxa"/>
            <w:gridSpan w:val="4"/>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1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93"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4208" w:type="dxa"/>
            <w:gridSpan w:val="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编制单位：福建省自然资源厅（本级）</w:t>
            </w:r>
          </w:p>
        </w:tc>
        <w:tc>
          <w:tcPr>
            <w:tcW w:w="1870"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2025年度</w:t>
            </w:r>
          </w:p>
        </w:tc>
        <w:tc>
          <w:tcPr>
            <w:tcW w:w="2793"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19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014"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93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93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93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926"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93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202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01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2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1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3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12,096.91</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4,872.07</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7,224.83</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20132</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组织事务</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2013202</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一般行政管理事务</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1,620.08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1,069.68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人力资源和社会保障管理事务</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2080199</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其他人力资源和社会保障管理事务支出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988.55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988.55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2080501</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行政单位离退休</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619.04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619.04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300.13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300.13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机关事业单位职业年金缴费支出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69.39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69.39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81.12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81.12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2080801</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死亡抚恤</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81.12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81.12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行政单位医疗</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自然资源海洋气象等支出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9,780.33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3,109.19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6,671.14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自然资源事务</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9,780.33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3,109.19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6,671.14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2200101</w:t>
            </w:r>
          </w:p>
        </w:tc>
        <w:tc>
          <w:tcPr>
            <w:tcW w:w="2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行政运行</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3,105.63 </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3,105.63 </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2200102</w:t>
            </w:r>
          </w:p>
        </w:tc>
        <w:tc>
          <w:tcPr>
            <w:tcW w:w="2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一般行政管理事务</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1,494.73 </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1,494.73 </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2200104</w:t>
            </w:r>
          </w:p>
        </w:tc>
        <w:tc>
          <w:tcPr>
            <w:tcW w:w="2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自然资源规划及管理</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224.75 </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224.75 </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2200106</w:t>
            </w:r>
          </w:p>
        </w:tc>
        <w:tc>
          <w:tcPr>
            <w:tcW w:w="2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自然资源利用与保护</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402.43 </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402.43 </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2200107</w:t>
            </w:r>
          </w:p>
        </w:tc>
        <w:tc>
          <w:tcPr>
            <w:tcW w:w="202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自然资源社会公益服务</w:t>
            </w:r>
          </w:p>
        </w:tc>
        <w:tc>
          <w:tcPr>
            <w:tcW w:w="101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703.33 </w:t>
            </w:r>
          </w:p>
        </w:tc>
        <w:tc>
          <w:tcPr>
            <w:tcW w:w="9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703.33 </w:t>
            </w:r>
          </w:p>
        </w:tc>
        <w:tc>
          <w:tcPr>
            <w:tcW w:w="9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2200114</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地质勘查与矿产资源管理</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424.55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424.55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2200120</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海域与海岛管理</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1,032.81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1,032.81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2200199</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其他自然资源事务支出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2,392.10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2,388.54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445.15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445.15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16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2210202</w:t>
            </w:r>
          </w:p>
        </w:tc>
        <w:tc>
          <w:tcPr>
            <w:tcW w:w="202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提租补贴</w:t>
            </w:r>
          </w:p>
        </w:tc>
        <w:tc>
          <w:tcPr>
            <w:tcW w:w="10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57.72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57.72 </w:t>
            </w: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8871"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w:t>
            </w:r>
            <w:r>
              <w:rPr>
                <w:rFonts w:hint="eastAsia" w:ascii="宋体" w:hAnsi="宋体" w:cs="宋体"/>
                <w:i w:val="0"/>
                <w:color w:val="000000"/>
                <w:kern w:val="0"/>
                <w:sz w:val="24"/>
                <w:szCs w:val="24"/>
                <w:u w:val="none"/>
                <w:lang w:val="en-US" w:eastAsia="zh-CN" w:bidi="ar"/>
              </w:rPr>
              <w:t>单位</w:t>
            </w:r>
            <w:r>
              <w:rPr>
                <w:rFonts w:hint="eastAsia" w:ascii="宋体" w:hAnsi="宋体" w:eastAsia="宋体" w:cs="宋体"/>
                <w:i w:val="0"/>
                <w:color w:val="000000"/>
                <w:kern w:val="0"/>
                <w:sz w:val="24"/>
                <w:szCs w:val="24"/>
                <w:u w:val="none"/>
                <w:lang w:val="en-US" w:eastAsia="zh-CN" w:bidi="ar"/>
              </w:rPr>
              <w:t>本年度各项支出情况。</w:t>
            </w:r>
          </w:p>
        </w:tc>
      </w:tr>
    </w:tbl>
    <w:p>
      <w:pPr>
        <w:pStyle w:val="16"/>
        <w:rPr>
          <w:rFonts w:ascii="Times New Roman" w:hAnsi="Times New Roman" w:eastAsia="宋体" w:cs="Times New Roman"/>
          <w:highlight w:val="none"/>
        </w:rPr>
      </w:pPr>
    </w:p>
    <w:p>
      <w:pPr>
        <w:widowControl/>
        <w:spacing w:line="240" w:lineRule="auto"/>
        <w:jc w:val="left"/>
        <w:rPr>
          <w:rFonts w:ascii="黑体" w:hAnsi="仿宋" w:eastAsia="黑体"/>
          <w:sz w:val="32"/>
          <w:szCs w:val="32"/>
          <w:highlight w:val="none"/>
        </w:rPr>
      </w:pPr>
      <w:r>
        <w:rPr>
          <w:rFonts w:ascii="黑体" w:hAnsi="仿宋" w:eastAsia="黑体"/>
          <w:sz w:val="32"/>
          <w:szCs w:val="32"/>
          <w:highlight w:val="none"/>
        </w:rPr>
        <w:br w:type="page"/>
      </w:r>
    </w:p>
    <w:p>
      <w:pPr>
        <w:jc w:val="left"/>
        <w:rPr>
          <w:rFonts w:ascii="黑体" w:hAnsi="仿宋" w:eastAsia="黑体"/>
          <w:sz w:val="32"/>
          <w:szCs w:val="32"/>
          <w:highlight w:val="none"/>
        </w:rPr>
      </w:pPr>
      <w:r>
        <w:rPr>
          <w:rFonts w:hint="eastAsia" w:ascii="黑体" w:hAnsi="仿宋" w:eastAsia="黑体"/>
          <w:sz w:val="32"/>
          <w:szCs w:val="32"/>
          <w:highlight w:val="none"/>
        </w:rPr>
        <w:t>四、财政拨款收入支出决算总表</w:t>
      </w:r>
    </w:p>
    <w:tbl>
      <w:tblPr>
        <w:tblStyle w:val="9"/>
        <w:tblW w:w="9715"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204"/>
        <w:gridCol w:w="1005"/>
        <w:gridCol w:w="1959"/>
        <w:gridCol w:w="995"/>
        <w:gridCol w:w="1256"/>
        <w:gridCol w:w="1380"/>
        <w:gridCol w:w="9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9715"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36"/>
                <w:szCs w:val="36"/>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6163" w:type="dxa"/>
            <w:gridSpan w:val="4"/>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552"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168"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编制单位：福建省自然资源厅（本级）</w:t>
            </w:r>
          </w:p>
        </w:tc>
        <w:tc>
          <w:tcPr>
            <w:tcW w:w="995"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2025年</w:t>
            </w:r>
          </w:p>
        </w:tc>
        <w:tc>
          <w:tcPr>
            <w:tcW w:w="3552"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2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506" w:type="dxa"/>
            <w:gridSpan w:val="5"/>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项目 </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项目（按功能分类）</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一、一般公共预算财政拨款 </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11,524.02</w:t>
            </w: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3.29</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3.29</w:t>
            </w: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1,620.08</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1,620.08</w:t>
            </w: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190.35</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190.35</w:t>
            </w: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9,780.33</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9,780.33</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502.87</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502.87</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9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11,524.02</w:t>
            </w: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12,096.91</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12,096.91</w:t>
            </w: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年初财政拨款结转和结余 </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2,858.63</w:t>
            </w: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年末财政拨款结转和结余 </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2,285.73</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2,285.73</w:t>
            </w: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一、一般公共预算财政拨款</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2,858.63</w:t>
            </w: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二、政府性基金预算财政拨款</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三、国有资本经营预算财政拨款</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2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总计 </w:t>
            </w:r>
          </w:p>
        </w:tc>
        <w:tc>
          <w:tcPr>
            <w:tcW w:w="10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14,382.64</w:t>
            </w:r>
          </w:p>
        </w:tc>
        <w:tc>
          <w:tcPr>
            <w:tcW w:w="19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总计 </w:t>
            </w:r>
          </w:p>
        </w:tc>
        <w:tc>
          <w:tcPr>
            <w:tcW w:w="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14,382.64</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14,382.64</w:t>
            </w:r>
          </w:p>
        </w:tc>
        <w:tc>
          <w:tcPr>
            <w:tcW w:w="13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9715"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w:t>
            </w:r>
            <w:r>
              <w:rPr>
                <w:rFonts w:hint="eastAsia" w:ascii="宋体" w:hAnsi="宋体" w:cs="宋体"/>
                <w:i w:val="0"/>
                <w:color w:val="000000"/>
                <w:kern w:val="0"/>
                <w:sz w:val="24"/>
                <w:szCs w:val="24"/>
                <w:u w:val="none"/>
                <w:lang w:val="en-US" w:eastAsia="zh-CN" w:bidi="ar"/>
              </w:rPr>
              <w:t>单位</w:t>
            </w:r>
            <w:r>
              <w:rPr>
                <w:rFonts w:hint="eastAsia" w:ascii="宋体" w:hAnsi="宋体" w:eastAsia="宋体" w:cs="宋体"/>
                <w:i w:val="0"/>
                <w:color w:val="000000"/>
                <w:kern w:val="0"/>
                <w:sz w:val="24"/>
                <w:szCs w:val="24"/>
                <w:u w:val="none"/>
                <w:lang w:val="en-US" w:eastAsia="zh-CN" w:bidi="ar"/>
              </w:rPr>
              <w:t>本年度一般公共预算财政拨款、政府性基金预算财政拨款和国有资本经营预算财政拨款的总收支和结转结余情况。</w:t>
            </w:r>
          </w:p>
        </w:tc>
      </w:tr>
    </w:tbl>
    <w:p>
      <w:pPr>
        <w:pStyle w:val="16"/>
        <w:rPr>
          <w:rFonts w:ascii="Times New Roman" w:hAnsi="Times New Roman" w:eastAsia="宋体" w:cs="Times New Roman"/>
          <w:highlight w:val="none"/>
        </w:rPr>
      </w:pPr>
    </w:p>
    <w:p>
      <w:pPr>
        <w:widowControl/>
        <w:spacing w:line="240" w:lineRule="auto"/>
        <w:jc w:val="left"/>
        <w:rPr>
          <w:rFonts w:ascii="黑体" w:hAnsi="仿宋" w:eastAsia="黑体"/>
          <w:sz w:val="32"/>
          <w:szCs w:val="32"/>
          <w:highlight w:val="none"/>
        </w:rPr>
      </w:pPr>
      <w:r>
        <w:rPr>
          <w:rFonts w:ascii="黑体" w:hAnsi="仿宋" w:eastAsia="黑体"/>
          <w:sz w:val="32"/>
          <w:szCs w:val="32"/>
          <w:highlight w:val="none"/>
        </w:rPr>
        <w:br w:type="page"/>
      </w:r>
    </w:p>
    <w:p>
      <w:pPr>
        <w:jc w:val="left"/>
        <w:rPr>
          <w:rFonts w:ascii="黑体" w:hAnsi="仿宋" w:eastAsia="黑体"/>
          <w:sz w:val="32"/>
          <w:szCs w:val="32"/>
          <w:highlight w:val="none"/>
        </w:rPr>
      </w:pPr>
      <w:r>
        <w:rPr>
          <w:rFonts w:hint="eastAsia" w:ascii="黑体" w:hAnsi="仿宋" w:eastAsia="黑体"/>
          <w:sz w:val="32"/>
          <w:szCs w:val="32"/>
          <w:highlight w:val="none"/>
        </w:rPr>
        <w:t>五、一般公共预算财政拨款支出决算表</w:t>
      </w:r>
    </w:p>
    <w:tbl>
      <w:tblPr>
        <w:tblStyle w:val="9"/>
        <w:tblW w:w="887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850"/>
        <w:gridCol w:w="3324"/>
        <w:gridCol w:w="1022"/>
        <w:gridCol w:w="912"/>
        <w:gridCol w:w="17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jc w:val="center"/>
        </w:trPr>
        <w:tc>
          <w:tcPr>
            <w:tcW w:w="8874" w:type="dxa"/>
            <w:gridSpan w:val="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36"/>
                <w:szCs w:val="36"/>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5174"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2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678"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5174"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编制单位：福建省自然资源厅（本级）</w:t>
            </w:r>
          </w:p>
        </w:tc>
        <w:tc>
          <w:tcPr>
            <w:tcW w:w="1022"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2025年度</w:t>
            </w:r>
          </w:p>
        </w:tc>
        <w:tc>
          <w:tcPr>
            <w:tcW w:w="2678"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51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700"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332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02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91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76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2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517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12,096.91</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4,872.07</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7,224.83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20132</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组织事务</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2013202</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一般行政管理事务</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1,620.08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1,069.68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人力资源和社会保障管理事务</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2080199</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其他人力资源和社会保障管理事务支出</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550.40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988.55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988.55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2080501</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行政单位离退休</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619.04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619.04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300.13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300.13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机关事业单位职业年金缴费支出</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69.39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69.39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81.12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81.12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2080801</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死亡抚恤</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81.12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81.12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行政单位医疗</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190.35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自然资源海洋气象等支出</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9,780.33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3,109.19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6,671.14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自然资源事务</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9,780.33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3,109.19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6,671.14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2200101</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行政运行</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3,105.63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3,105.63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2200102</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一般行政管理事务</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1,494.73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1,494.73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2200104</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自然资源规划及管理</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224.75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224.75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2200106</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自然资源利用与保护</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402.43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2200107</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自然资源社会公益服务</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703.33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703.33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2200114</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地质勘查与矿产资源管理</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424.55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2200120</w:t>
            </w:r>
          </w:p>
        </w:tc>
        <w:tc>
          <w:tcPr>
            <w:tcW w:w="33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海域与海岛管理</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1,032.81 </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1,032.81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2200199</w:t>
            </w:r>
          </w:p>
        </w:tc>
        <w:tc>
          <w:tcPr>
            <w:tcW w:w="33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其他自然资源事务支出</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2,392.10 </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3.55 </w:t>
            </w:r>
          </w:p>
        </w:tc>
        <w:tc>
          <w:tcPr>
            <w:tcW w:w="1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2,388.54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33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1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33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502.87 </w:t>
            </w:r>
          </w:p>
        </w:tc>
        <w:tc>
          <w:tcPr>
            <w:tcW w:w="1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332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10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445.15 </w:t>
            </w:r>
          </w:p>
        </w:tc>
        <w:tc>
          <w:tcPr>
            <w:tcW w:w="91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445.15 </w:t>
            </w:r>
          </w:p>
        </w:tc>
        <w:tc>
          <w:tcPr>
            <w:tcW w:w="176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185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2210202</w:t>
            </w:r>
          </w:p>
        </w:tc>
        <w:tc>
          <w:tcPr>
            <w:tcW w:w="33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提租补贴</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57.72 </w:t>
            </w:r>
          </w:p>
        </w:tc>
        <w:tc>
          <w:tcPr>
            <w:tcW w:w="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57.72 </w:t>
            </w:r>
          </w:p>
        </w:tc>
        <w:tc>
          <w:tcPr>
            <w:tcW w:w="176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8874" w:type="dxa"/>
            <w:gridSpan w:val="5"/>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w:t>
            </w:r>
            <w:r>
              <w:rPr>
                <w:rFonts w:hint="eastAsia" w:ascii="宋体" w:hAnsi="宋体" w:cs="宋体"/>
                <w:i w:val="0"/>
                <w:color w:val="000000"/>
                <w:kern w:val="0"/>
                <w:sz w:val="24"/>
                <w:szCs w:val="24"/>
                <w:u w:val="none"/>
                <w:lang w:val="en-US" w:eastAsia="zh-CN" w:bidi="ar"/>
              </w:rPr>
              <w:t>单位</w:t>
            </w:r>
            <w:r>
              <w:rPr>
                <w:rFonts w:hint="eastAsia" w:ascii="宋体" w:hAnsi="宋体" w:eastAsia="宋体" w:cs="宋体"/>
                <w:i w:val="0"/>
                <w:color w:val="000000"/>
                <w:kern w:val="0"/>
                <w:sz w:val="24"/>
                <w:szCs w:val="24"/>
                <w:u w:val="none"/>
                <w:lang w:val="en-US" w:eastAsia="zh-CN" w:bidi="ar"/>
              </w:rPr>
              <w:t>本年度一般公共预算财政拨款支出情况。</w:t>
            </w:r>
          </w:p>
        </w:tc>
      </w:tr>
    </w:tbl>
    <w:p>
      <w:pPr>
        <w:rPr>
          <w:rFonts w:ascii="黑体" w:hAnsi="仿宋" w:eastAsia="黑体"/>
          <w:sz w:val="32"/>
          <w:szCs w:val="32"/>
          <w:highlight w:val="none"/>
        </w:rPr>
        <w:sectPr>
          <w:footerReference r:id="rId6" w:type="default"/>
          <w:pgSz w:w="11906" w:h="16838"/>
          <w:pgMar w:top="1701" w:right="1531" w:bottom="1701" w:left="1531" w:header="851" w:footer="992" w:gutter="0"/>
          <w:pgBorders>
            <w:top w:val="none" w:sz="0" w:space="0"/>
            <w:left w:val="none" w:sz="0" w:space="0"/>
            <w:bottom w:val="none" w:sz="0" w:space="0"/>
            <w:right w:val="none" w:sz="0" w:space="0"/>
          </w:pgBorders>
          <w:pgNumType w:start="1"/>
          <w:cols w:space="0" w:num="1"/>
          <w:rtlGutter w:val="0"/>
          <w:docGrid w:type="lines" w:linePitch="312" w:charSpace="0"/>
        </w:sectPr>
      </w:pPr>
    </w:p>
    <w:p>
      <w:pPr>
        <w:jc w:val="left"/>
        <w:rPr>
          <w:rFonts w:ascii="黑体" w:hAnsi="仿宋" w:eastAsia="黑体"/>
          <w:sz w:val="32"/>
          <w:szCs w:val="32"/>
          <w:highlight w:val="none"/>
        </w:rPr>
      </w:pPr>
      <w:r>
        <w:rPr>
          <w:rFonts w:hint="eastAsia" w:ascii="黑体" w:hAnsi="仿宋" w:eastAsia="黑体"/>
          <w:sz w:val="32"/>
          <w:szCs w:val="32"/>
          <w:highlight w:val="none"/>
        </w:rPr>
        <w:t xml:space="preserve">六、一般公共预算财政拨款基本支出决算表 </w:t>
      </w:r>
    </w:p>
    <w:tbl>
      <w:tblPr>
        <w:tblStyle w:val="9"/>
        <w:tblW w:w="134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66"/>
        <w:gridCol w:w="2534"/>
        <w:gridCol w:w="911"/>
        <w:gridCol w:w="1153"/>
        <w:gridCol w:w="1911"/>
        <w:gridCol w:w="1192"/>
        <w:gridCol w:w="781"/>
        <w:gridCol w:w="3219"/>
        <w:gridCol w:w="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13463"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36"/>
                <w:szCs w:val="36"/>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464" w:type="dxa"/>
            <w:gridSpan w:val="4"/>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91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19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115"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4311"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编制单位：福建省自然资源厅（本级）</w:t>
            </w:r>
          </w:p>
        </w:tc>
        <w:tc>
          <w:tcPr>
            <w:tcW w:w="115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911"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2025年度</w:t>
            </w:r>
          </w:p>
        </w:tc>
        <w:tc>
          <w:tcPr>
            <w:tcW w:w="119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8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115"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经济分类科目编码</w:t>
            </w:r>
          </w:p>
        </w:tc>
        <w:tc>
          <w:tcPr>
            <w:tcW w:w="2534"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91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153"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经济分类科目编码</w:t>
            </w:r>
          </w:p>
        </w:tc>
        <w:tc>
          <w:tcPr>
            <w:tcW w:w="191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19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78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经济分类科目编码</w:t>
            </w:r>
          </w:p>
        </w:tc>
        <w:tc>
          <w:tcPr>
            <w:tcW w:w="321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896"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3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1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1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1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9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3,697.65</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473.12</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877.39</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15.42</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794.89</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10.52</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1,017.41</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2.99</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0.33</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300.13</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23.05</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69.39</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106.56</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92.50</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75.46</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40.12</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2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2.57</w:t>
            </w:r>
          </w:p>
        </w:tc>
        <w:tc>
          <w:tcPr>
            <w:tcW w:w="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3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2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445.15</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0.75</w:t>
            </w:r>
          </w:p>
        </w:tc>
        <w:tc>
          <w:tcPr>
            <w:tcW w:w="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3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2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3.05</w:t>
            </w:r>
          </w:p>
        </w:tc>
        <w:tc>
          <w:tcPr>
            <w:tcW w:w="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3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2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2.95</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4.63</w:t>
            </w:r>
          </w:p>
        </w:tc>
        <w:tc>
          <w:tcPr>
            <w:tcW w:w="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3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2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701.30</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6.13</w:t>
            </w:r>
          </w:p>
        </w:tc>
        <w:tc>
          <w:tcPr>
            <w:tcW w:w="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3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2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0.98</w:t>
            </w: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6.27</w:t>
            </w:r>
          </w:p>
        </w:tc>
        <w:tc>
          <w:tcPr>
            <w:tcW w:w="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3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2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3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253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91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191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119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321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89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81.12</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3.22</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85.72</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52.02</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0.46</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31206</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其他资本性补助</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25.27</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69.79</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615.98</w:t>
            </w: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31.54</w:t>
            </w: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19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11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32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8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4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人员经费合计 </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4,398.96</w:t>
            </w:r>
          </w:p>
        </w:tc>
        <w:tc>
          <w:tcPr>
            <w:tcW w:w="82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3463" w:type="dxa"/>
            <w:gridSpan w:val="9"/>
            <w:tcBorders>
              <w:top w:val="single" w:color="000000"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w:t>
            </w:r>
            <w:r>
              <w:rPr>
                <w:rFonts w:hint="eastAsia" w:ascii="宋体" w:hAnsi="宋体" w:cs="宋体"/>
                <w:i w:val="0"/>
                <w:color w:val="000000"/>
                <w:kern w:val="0"/>
                <w:sz w:val="24"/>
                <w:szCs w:val="24"/>
                <w:u w:val="none"/>
                <w:lang w:val="en-US" w:eastAsia="zh-CN" w:bidi="ar"/>
              </w:rPr>
              <w:t>单位</w:t>
            </w:r>
            <w:r>
              <w:rPr>
                <w:rFonts w:hint="eastAsia" w:ascii="宋体" w:hAnsi="宋体" w:eastAsia="宋体" w:cs="宋体"/>
                <w:i w:val="0"/>
                <w:color w:val="000000"/>
                <w:kern w:val="0"/>
                <w:sz w:val="24"/>
                <w:szCs w:val="24"/>
                <w:u w:val="none"/>
                <w:lang w:val="en-US" w:eastAsia="zh-CN" w:bidi="ar"/>
              </w:rPr>
              <w:t>本年度一般公共预算财政拨款基本支出明细情况。</w:t>
            </w:r>
          </w:p>
        </w:tc>
      </w:tr>
    </w:tbl>
    <w:p>
      <w:pPr>
        <w:pStyle w:val="16"/>
        <w:rPr>
          <w:rFonts w:ascii="Times New Roman" w:hAnsi="Times New Roman" w:eastAsia="宋体" w:cs="Times New Roman"/>
          <w:highlight w:val="none"/>
        </w:rPr>
      </w:pPr>
    </w:p>
    <w:p>
      <w:pPr>
        <w:rPr>
          <w:rFonts w:ascii="黑体" w:hAnsi="仿宋" w:eastAsia="黑体"/>
          <w:sz w:val="32"/>
          <w:szCs w:val="32"/>
          <w:highlight w:val="none"/>
        </w:rPr>
        <w:sectPr>
          <w:pgSz w:w="16838" w:h="11906" w:orient="landscape"/>
          <w:pgMar w:top="1531" w:right="1701" w:bottom="1531" w:left="1701" w:header="851" w:footer="992" w:gutter="0"/>
          <w:pgBorders>
            <w:top w:val="none" w:sz="0" w:space="0"/>
            <w:left w:val="none" w:sz="0" w:space="0"/>
            <w:bottom w:val="none" w:sz="0" w:space="0"/>
            <w:right w:val="none" w:sz="0" w:space="0"/>
          </w:pgBorders>
          <w:cols w:space="0" w:num="1"/>
          <w:rtlGutter w:val="0"/>
          <w:docGrid w:type="lines" w:linePitch="312" w:charSpace="0"/>
        </w:sectPr>
      </w:pPr>
    </w:p>
    <w:p>
      <w:pPr>
        <w:jc w:val="left"/>
        <w:rPr>
          <w:rFonts w:ascii="黑体" w:hAnsi="仿宋" w:eastAsia="黑体"/>
          <w:sz w:val="32"/>
          <w:szCs w:val="32"/>
          <w:highlight w:val="none"/>
        </w:rPr>
      </w:pPr>
      <w:r>
        <w:rPr>
          <w:rFonts w:hint="eastAsia" w:ascii="黑体" w:hAnsi="仿宋" w:eastAsia="黑体"/>
          <w:sz w:val="32"/>
          <w:szCs w:val="32"/>
          <w:highlight w:val="none"/>
        </w:rPr>
        <w:t xml:space="preserve">七、一般公共预算财政拨款“三公”经费支出决算表 </w:t>
      </w:r>
    </w:p>
    <w:tbl>
      <w:tblPr>
        <w:tblStyle w:val="9"/>
        <w:tblW w:w="88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304"/>
        <w:gridCol w:w="1359"/>
        <w:gridCol w:w="22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8874"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36"/>
                <w:szCs w:val="36"/>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6663"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211"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304"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编制单位：福建省自然资源厅（本级）</w:t>
            </w:r>
          </w:p>
        </w:tc>
        <w:tc>
          <w:tcPr>
            <w:tcW w:w="1359"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2025年度</w:t>
            </w:r>
          </w:p>
        </w:tc>
        <w:tc>
          <w:tcPr>
            <w:tcW w:w="2211"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3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35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21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3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2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3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 因公出国（境）费用</w:t>
            </w:r>
          </w:p>
        </w:tc>
        <w:tc>
          <w:tcPr>
            <w:tcW w:w="13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2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3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 公务用车购置及运行维护费</w:t>
            </w:r>
          </w:p>
        </w:tc>
        <w:tc>
          <w:tcPr>
            <w:tcW w:w="13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2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3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其中：（1）公务用车购置费</w:t>
            </w:r>
          </w:p>
        </w:tc>
        <w:tc>
          <w:tcPr>
            <w:tcW w:w="13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2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3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13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2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30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 公务接待费</w:t>
            </w:r>
          </w:p>
        </w:tc>
        <w:tc>
          <w:tcPr>
            <w:tcW w:w="13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21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8874"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w:t>
            </w:r>
            <w:r>
              <w:rPr>
                <w:rFonts w:hint="eastAsia" w:ascii="宋体" w:hAnsi="宋体" w:cs="宋体"/>
                <w:i w:val="0"/>
                <w:color w:val="000000"/>
                <w:kern w:val="0"/>
                <w:sz w:val="24"/>
                <w:szCs w:val="24"/>
                <w:u w:val="none"/>
                <w:lang w:val="en-US" w:eastAsia="zh-CN" w:bidi="ar"/>
              </w:rPr>
              <w:t>单位</w:t>
            </w:r>
            <w:r>
              <w:rPr>
                <w:rFonts w:hint="eastAsia" w:ascii="宋体" w:hAnsi="宋体" w:eastAsia="宋体" w:cs="宋体"/>
                <w:i w:val="0"/>
                <w:color w:val="000000"/>
                <w:kern w:val="0"/>
                <w:sz w:val="24"/>
                <w:szCs w:val="24"/>
                <w:u w:val="none"/>
                <w:lang w:val="en-US" w:eastAsia="zh-CN" w:bidi="ar"/>
              </w:rPr>
              <w:t>本年度“三公”经费支出决算情况，包括当年一般公共预算财政拨款和以前年度结转资金安排的实际支出。</w:t>
            </w:r>
          </w:p>
        </w:tc>
      </w:tr>
    </w:tbl>
    <w:p>
      <w:pPr>
        <w:pStyle w:val="16"/>
        <w:rPr>
          <w:rFonts w:ascii="Times New Roman" w:hAnsi="Times New Roman" w:eastAsia="宋体" w:cs="Times New Roman"/>
          <w:highlight w:val="none"/>
        </w:rPr>
      </w:pPr>
    </w:p>
    <w:p>
      <w:pPr>
        <w:widowControl/>
        <w:spacing w:line="240" w:lineRule="auto"/>
        <w:jc w:val="left"/>
        <w:rPr>
          <w:rFonts w:ascii="黑体" w:hAnsi="仿宋" w:eastAsia="黑体"/>
          <w:sz w:val="32"/>
          <w:szCs w:val="32"/>
          <w:highlight w:val="none"/>
        </w:rPr>
      </w:pPr>
      <w:r>
        <w:rPr>
          <w:rFonts w:ascii="黑体" w:hAnsi="仿宋" w:eastAsia="黑体"/>
          <w:sz w:val="32"/>
          <w:szCs w:val="32"/>
          <w:highlight w:val="none"/>
        </w:rPr>
        <w:br w:type="page"/>
      </w:r>
    </w:p>
    <w:p>
      <w:pPr>
        <w:jc w:val="left"/>
        <w:rPr>
          <w:rFonts w:ascii="黑体" w:hAnsi="仿宋" w:eastAsia="黑体"/>
          <w:sz w:val="32"/>
          <w:szCs w:val="32"/>
          <w:highlight w:val="none"/>
        </w:rPr>
      </w:pPr>
      <w:r>
        <w:rPr>
          <w:rFonts w:hint="eastAsia" w:ascii="黑体" w:hAnsi="仿宋" w:eastAsia="黑体"/>
          <w:sz w:val="32"/>
          <w:szCs w:val="32"/>
          <w:highlight w:val="none"/>
        </w:rPr>
        <w:t xml:space="preserve">八、政府性基金预算财政拨款收入支出决算表 </w:t>
      </w:r>
    </w:p>
    <w:tbl>
      <w:tblPr>
        <w:tblStyle w:val="9"/>
        <w:tblW w:w="88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78"/>
        <w:gridCol w:w="279"/>
        <w:gridCol w:w="278"/>
        <w:gridCol w:w="1009"/>
        <w:gridCol w:w="1739"/>
        <w:gridCol w:w="1009"/>
        <w:gridCol w:w="522"/>
        <w:gridCol w:w="1009"/>
        <w:gridCol w:w="1009"/>
        <w:gridCol w:w="1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8874"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36"/>
                <w:szCs w:val="36"/>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70" w:hRule="atLeast"/>
        </w:trPr>
        <w:tc>
          <w:tcPr>
            <w:tcW w:w="557"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0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73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0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2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0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0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742"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583" w:type="dxa"/>
            <w:gridSpan w:val="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编制单位：福建省自然资源厅（本级）</w:t>
            </w:r>
          </w:p>
        </w:tc>
        <w:tc>
          <w:tcPr>
            <w:tcW w:w="1531"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2025年度</w:t>
            </w:r>
          </w:p>
        </w:tc>
        <w:tc>
          <w:tcPr>
            <w:tcW w:w="100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51"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8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73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年初结转和结余 </w:t>
            </w:r>
          </w:p>
        </w:tc>
        <w:tc>
          <w:tcPr>
            <w:tcW w:w="100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2540"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174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35"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10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73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2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0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基本支出 </w:t>
            </w:r>
          </w:p>
        </w:tc>
        <w:tc>
          <w:tcPr>
            <w:tcW w:w="10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74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35"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3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2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7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27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27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7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4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pStyle w:val="16"/>
        <w:rPr>
          <w:rFonts w:ascii="黑体" w:hAnsi="仿宋" w:eastAsia="黑体" w:cs="黑体....."/>
          <w:color w:val="000000"/>
          <w:kern w:val="0"/>
          <w:sz w:val="32"/>
          <w:szCs w:val="32"/>
          <w:highlight w:val="none"/>
        </w:rPr>
      </w:pPr>
      <w:r>
        <w:rPr>
          <w:rFonts w:hint="eastAsia" w:ascii="Times New Roman" w:hAnsi="Times New Roman" w:eastAsia="宋体" w:cs="Times New Roman"/>
          <w:highlight w:val="none"/>
        </w:rPr>
        <w:t>注：本</w:t>
      </w:r>
      <w:r>
        <w:rPr>
          <w:rFonts w:hint="eastAsia" w:ascii="Times New Roman" w:hAnsi="Times New Roman" w:eastAsia="宋体" w:cs="Times New Roman"/>
          <w:highlight w:val="none"/>
          <w:lang w:eastAsia="zh-CN"/>
        </w:rPr>
        <w:t>单位</w:t>
      </w:r>
      <w:r>
        <w:rPr>
          <w:rFonts w:hint="eastAsia" w:ascii="Times New Roman" w:hAnsi="Times New Roman" w:eastAsia="宋体" w:cs="Times New Roman"/>
          <w:highlight w:val="none"/>
          <w:lang w:val="en-US" w:eastAsia="zh-CN"/>
        </w:rPr>
        <w:t>2025</w:t>
      </w:r>
      <w:r>
        <w:rPr>
          <w:rFonts w:hint="eastAsia" w:ascii="Times New Roman" w:hAnsi="Times New Roman" w:eastAsia="宋体" w:cs="Times New Roman"/>
          <w:highlight w:val="none"/>
        </w:rPr>
        <w:t>年度没有使用政府性基金预算财政拨款安排的收支</w:t>
      </w:r>
      <w:r>
        <w:rPr>
          <w:rFonts w:ascii="黑体" w:hAnsi="仿宋" w:eastAsia="黑体"/>
          <w:sz w:val="32"/>
          <w:szCs w:val="32"/>
          <w:highlight w:val="none"/>
        </w:rPr>
        <w:br w:type="page"/>
      </w:r>
    </w:p>
    <w:p>
      <w:pPr>
        <w:pStyle w:val="16"/>
        <w:rPr>
          <w:rFonts w:ascii="Times New Roman" w:hAnsi="Times New Roman" w:eastAsia="宋体" w:cs="Times New Roman"/>
          <w:highlight w:val="none"/>
        </w:rPr>
      </w:pPr>
      <w:r>
        <w:rPr>
          <w:rFonts w:hint="eastAsia" w:ascii="黑体" w:hAnsi="仿宋" w:eastAsia="黑体"/>
          <w:sz w:val="32"/>
          <w:szCs w:val="32"/>
          <w:highlight w:val="none"/>
        </w:rPr>
        <w:t>九、国有资本经营预算财政拨款支出决算表</w:t>
      </w:r>
    </w:p>
    <w:tbl>
      <w:tblPr>
        <w:tblStyle w:val="9"/>
        <w:tblW w:w="887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77"/>
        <w:gridCol w:w="1337"/>
        <w:gridCol w:w="1418"/>
        <w:gridCol w:w="1337"/>
        <w:gridCol w:w="2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jc w:val="center"/>
        </w:trPr>
        <w:tc>
          <w:tcPr>
            <w:tcW w:w="8874" w:type="dxa"/>
            <w:gridSpan w:val="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44"/>
                <w:szCs w:val="44"/>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3814"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4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33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305"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3814"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编制单位：福建省自然资源厅（本级）</w:t>
            </w:r>
          </w:p>
        </w:tc>
        <w:tc>
          <w:tcPr>
            <w:tcW w:w="1418"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2025年度</w:t>
            </w:r>
          </w:p>
        </w:tc>
        <w:tc>
          <w:tcPr>
            <w:tcW w:w="133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305"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3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        目</w:t>
            </w:r>
          </w:p>
        </w:tc>
        <w:tc>
          <w:tcPr>
            <w:tcW w:w="5060"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2477"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133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41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3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30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247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247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0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381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4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3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381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jc w:val="center"/>
        </w:trPr>
        <w:tc>
          <w:tcPr>
            <w:tcW w:w="247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8874" w:type="dxa"/>
            <w:gridSpan w:val="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8874" w:type="dxa"/>
            <w:gridSpan w:val="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w:t>
            </w:r>
            <w:r>
              <w:rPr>
                <w:rFonts w:hint="eastAsia" w:ascii="宋体" w:hAnsi="宋体" w:cs="宋体"/>
                <w:i w:val="0"/>
                <w:color w:val="000000"/>
                <w:kern w:val="0"/>
                <w:sz w:val="24"/>
                <w:szCs w:val="24"/>
                <w:u w:val="none"/>
                <w:lang w:val="en-US" w:eastAsia="zh-CN" w:bidi="ar"/>
              </w:rPr>
              <w:t>单2025</w:t>
            </w:r>
            <w:r>
              <w:rPr>
                <w:rFonts w:hint="eastAsia" w:ascii="宋体" w:hAnsi="宋体" w:eastAsia="宋体" w:cs="宋体"/>
                <w:i w:val="0"/>
                <w:color w:val="000000"/>
                <w:kern w:val="0"/>
                <w:sz w:val="24"/>
                <w:szCs w:val="24"/>
                <w:u w:val="none"/>
                <w:lang w:val="en-US" w:eastAsia="zh-CN" w:bidi="ar"/>
              </w:rPr>
              <w:t>年度没有使用国有资本经营预算财政拨款安排的支出。</w:t>
            </w:r>
          </w:p>
        </w:tc>
      </w:tr>
    </w:tbl>
    <w:p>
      <w:pPr>
        <w:spacing w:line="600" w:lineRule="exact"/>
        <w:jc w:val="center"/>
        <w:rPr>
          <w:rFonts w:ascii="黑体" w:hAnsi="黑体" w:eastAsia="黑体"/>
          <w:sz w:val="36"/>
          <w:szCs w:val="36"/>
          <w:highlight w:val="none"/>
        </w:rPr>
      </w:pPr>
    </w:p>
    <w:p>
      <w:pPr>
        <w:spacing w:line="600" w:lineRule="exact"/>
        <w:jc w:val="center"/>
        <w:rPr>
          <w:rFonts w:ascii="黑体" w:hAnsi="黑体" w:eastAsia="黑体"/>
          <w:sz w:val="36"/>
          <w:szCs w:val="36"/>
          <w:highlight w:val="none"/>
        </w:rPr>
      </w:pPr>
    </w:p>
    <w:p>
      <w:pPr>
        <w:spacing w:line="600" w:lineRule="exact"/>
        <w:jc w:val="center"/>
        <w:rPr>
          <w:rFonts w:ascii="黑体" w:hAnsi="黑体" w:eastAsia="黑体"/>
          <w:sz w:val="36"/>
          <w:szCs w:val="36"/>
          <w:highlight w:val="none"/>
        </w:rPr>
      </w:pPr>
    </w:p>
    <w:p>
      <w:pPr>
        <w:widowControl/>
        <w:spacing w:line="240" w:lineRule="auto"/>
        <w:jc w:val="left"/>
        <w:rPr>
          <w:rFonts w:ascii="黑体" w:hAnsi="黑体" w:eastAsia="黑体"/>
          <w:sz w:val="36"/>
          <w:szCs w:val="36"/>
          <w:highlight w:val="none"/>
        </w:rPr>
      </w:pPr>
      <w:r>
        <w:rPr>
          <w:rFonts w:ascii="黑体" w:hAnsi="黑体" w:eastAsia="黑体"/>
          <w:sz w:val="36"/>
          <w:szCs w:val="36"/>
          <w:highlight w:val="none"/>
        </w:rPr>
        <w:br w:type="page"/>
      </w: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jc w:val="center"/>
        <w:rPr>
          <w:rFonts w:ascii="黑体" w:hAnsi="黑体" w:eastAsia="黑体"/>
          <w:sz w:val="36"/>
          <w:szCs w:val="36"/>
          <w:highlight w:val="none"/>
          <w:lang w:eastAsia="zh-CN"/>
        </w:rPr>
      </w:pPr>
    </w:p>
    <w:p>
      <w:pPr>
        <w:pStyle w:val="5"/>
        <w:rPr>
          <w:rFonts w:ascii="黑体" w:hAnsi="黑体" w:eastAsia="黑体"/>
          <w:sz w:val="56"/>
          <w:szCs w:val="36"/>
          <w:highlight w:val="none"/>
          <w:lang w:eastAsia="zh-CN"/>
        </w:rPr>
      </w:pPr>
      <w:r>
        <w:rPr>
          <w:rFonts w:hint="eastAsia" w:ascii="黑体" w:hAnsi="黑体" w:eastAsia="黑体"/>
          <w:sz w:val="56"/>
          <w:szCs w:val="36"/>
          <w:highlight w:val="none"/>
          <w:lang w:eastAsia="zh-CN"/>
        </w:rPr>
        <w:t>第三部分</w:t>
      </w:r>
      <w:r>
        <w:rPr>
          <w:rFonts w:ascii="黑体" w:hAnsi="黑体" w:eastAsia="黑体"/>
          <w:sz w:val="56"/>
          <w:szCs w:val="36"/>
          <w:highlight w:val="none"/>
          <w:lang w:eastAsia="zh-CN"/>
        </w:rPr>
        <w:t xml:space="preserve"> </w:t>
      </w:r>
    </w:p>
    <w:p>
      <w:pPr>
        <w:spacing w:line="600" w:lineRule="exact"/>
        <w:jc w:val="center"/>
        <w:rPr>
          <w:rFonts w:ascii="黑体" w:hAnsi="黑体" w:eastAsia="黑体"/>
          <w:sz w:val="36"/>
          <w:szCs w:val="36"/>
          <w:highlight w:val="none"/>
        </w:rPr>
      </w:pPr>
      <w:r>
        <w:rPr>
          <w:rFonts w:hint="eastAsia" w:ascii="黑体" w:hAnsi="黑体" w:eastAsia="黑体"/>
          <w:sz w:val="56"/>
          <w:szCs w:val="36"/>
          <w:highlight w:val="none"/>
          <w:lang w:eastAsia="zh-CN"/>
        </w:rPr>
        <w:t>2025年度单位</w:t>
      </w:r>
      <w:r>
        <w:rPr>
          <w:rFonts w:hint="eastAsia" w:ascii="黑体" w:hAnsi="黑体" w:eastAsia="黑体"/>
          <w:sz w:val="56"/>
          <w:szCs w:val="36"/>
          <w:highlight w:val="none"/>
        </w:rPr>
        <w:t>决算情况说明</w:t>
      </w:r>
    </w:p>
    <w:p>
      <w:pPr>
        <w:spacing w:line="600" w:lineRule="exact"/>
        <w:rPr>
          <w:rFonts w:ascii="仿宋" w:hAnsi="仿宋" w:eastAsia="仿宋"/>
          <w:sz w:val="32"/>
          <w:szCs w:val="32"/>
          <w:highlight w:val="none"/>
        </w:rPr>
      </w:pPr>
    </w:p>
    <w:p>
      <w:pPr>
        <w:widowControl/>
        <w:spacing w:line="240" w:lineRule="auto"/>
        <w:jc w:val="left"/>
        <w:rPr>
          <w:rFonts w:ascii="黑体" w:hAnsi="黑体" w:eastAsia="黑体"/>
          <w:sz w:val="32"/>
          <w:szCs w:val="32"/>
          <w:highlight w:val="none"/>
        </w:rPr>
      </w:pPr>
      <w:r>
        <w:rPr>
          <w:rFonts w:ascii="黑体" w:hAnsi="黑体" w:eastAsia="黑体"/>
          <w:sz w:val="32"/>
          <w:szCs w:val="32"/>
          <w:highlight w:val="none"/>
        </w:rPr>
        <w:br w:type="page"/>
      </w:r>
    </w:p>
    <w:p>
      <w:pPr>
        <w:keepNext w:val="0"/>
        <w:keepLines w:val="0"/>
        <w:pageBreakBefore w:val="0"/>
        <w:kinsoku/>
        <w:wordWrap/>
        <w:overflowPunct/>
        <w:topLinePunct w:val="0"/>
        <w:bidi w:val="0"/>
        <w:spacing w:line="600" w:lineRule="exact"/>
        <w:ind w:firstLine="640" w:firstLineChars="200"/>
        <w:jc w:val="both"/>
        <w:textAlignment w:val="auto"/>
        <w:rPr>
          <w:rFonts w:ascii="黑体" w:hAnsi="黑体" w:eastAsia="黑体"/>
          <w:sz w:val="32"/>
          <w:szCs w:val="32"/>
          <w:highlight w:val="none"/>
        </w:rPr>
      </w:pPr>
      <w:r>
        <w:rPr>
          <w:rFonts w:hint="eastAsia" w:ascii="黑体" w:hAnsi="黑体" w:eastAsia="黑体"/>
          <w:sz w:val="32"/>
          <w:szCs w:val="32"/>
          <w:highlight w:val="none"/>
        </w:rPr>
        <w:t>一、收入支出决算总体情况说明</w:t>
      </w:r>
    </w:p>
    <w:p>
      <w:pPr>
        <w:keepNext w:val="0"/>
        <w:keepLines w:val="0"/>
        <w:pageBreakBefore w:val="0"/>
        <w:tabs>
          <w:tab w:val="left" w:pos="7513"/>
        </w:tabs>
        <w:kinsoku/>
        <w:wordWrap/>
        <w:overflowPunct/>
        <w:topLinePunct w:val="0"/>
        <w:bidi w:val="0"/>
        <w:adjustRightInd w:val="0"/>
        <w:snapToGrid w:val="0"/>
        <w:spacing w:line="600" w:lineRule="exact"/>
        <w:ind w:firstLine="643" w:firstLineChars="200"/>
        <w:jc w:val="both"/>
        <w:textAlignment w:val="auto"/>
        <w:rPr>
          <w:rFonts w:ascii="楷体_GB2312" w:hAnsi="仿宋" w:eastAsia="楷体_GB2312" w:cs="仿宋_GB2312"/>
          <w:b/>
          <w:bCs/>
          <w:sz w:val="32"/>
          <w:szCs w:val="32"/>
          <w:highlight w:val="none"/>
        </w:rPr>
      </w:pPr>
      <w:r>
        <w:rPr>
          <w:rFonts w:hint="eastAsia" w:ascii="楷体_GB2312" w:hAnsi="仿宋" w:eastAsia="楷体_GB2312" w:cs="仿宋_GB2312"/>
          <w:b/>
          <w:bCs/>
          <w:sz w:val="32"/>
          <w:szCs w:val="32"/>
          <w:highlight w:val="none"/>
        </w:rPr>
        <w:t>（一）收入支出决算总体情况说明</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2025年度本单位收入总计14461.29万元，支出总计14461.29万元，与上年决算数相比，各减少2265.65万元，下降13.54%。主要是</w:t>
      </w:r>
      <w:r>
        <w:rPr>
          <w:rFonts w:hint="eastAsia" w:ascii="仿宋_GB2312" w:hAnsi="仿宋_GB2312" w:eastAsia="仿宋_GB2312" w:cs="仿宋_GB2312"/>
          <w:sz w:val="32"/>
          <w:szCs w:val="32"/>
          <w:highlight w:val="none"/>
          <w:lang w:eastAsia="zh-CN"/>
        </w:rPr>
        <w:t>厉行节约，严控一般性支出</w:t>
      </w:r>
      <w:r>
        <w:rPr>
          <w:rFonts w:hint="eastAsia" w:ascii="仿宋_GB2312" w:hAnsi="仿宋_GB2312" w:eastAsia="仿宋_GB2312" w:cs="仿宋_GB2312"/>
          <w:sz w:val="32"/>
          <w:szCs w:val="32"/>
          <w:highlight w:val="none"/>
        </w:rPr>
        <w:t>。</w:t>
      </w:r>
    </w:p>
    <w:p>
      <w:pPr>
        <w:keepNext w:val="0"/>
        <w:keepLines w:val="0"/>
        <w:pageBreakBefore w:val="0"/>
        <w:tabs>
          <w:tab w:val="left" w:pos="7513"/>
        </w:tabs>
        <w:kinsoku/>
        <w:wordWrap/>
        <w:overflowPunct/>
        <w:topLinePunct w:val="0"/>
        <w:bidi w:val="0"/>
        <w:adjustRightInd w:val="0"/>
        <w:snapToGrid w:val="0"/>
        <w:spacing w:line="600" w:lineRule="exact"/>
        <w:ind w:firstLine="643" w:firstLineChars="200"/>
        <w:jc w:val="both"/>
        <w:textAlignment w:val="auto"/>
        <w:rPr>
          <w:rFonts w:hint="eastAsia" w:ascii="楷体_GB2312" w:hAnsi="仿宋" w:eastAsia="楷体_GB2312" w:cs="仿宋_GB2312"/>
          <w:b/>
          <w:bCs/>
          <w:sz w:val="32"/>
          <w:szCs w:val="32"/>
          <w:highlight w:val="none"/>
        </w:rPr>
      </w:pPr>
      <w:r>
        <w:rPr>
          <w:rFonts w:hint="eastAsia" w:ascii="楷体_GB2312" w:hAnsi="仿宋" w:eastAsia="楷体_GB2312" w:cs="仿宋_GB2312"/>
          <w:b/>
          <w:bCs/>
          <w:sz w:val="32"/>
          <w:szCs w:val="32"/>
          <w:highlight w:val="none"/>
        </w:rPr>
        <w:t>（二）收入决算情况说明</w:t>
      </w:r>
    </w:p>
    <w:p>
      <w:pPr>
        <w:pStyle w:val="20"/>
        <w:keepNext w:val="0"/>
        <w:keepLines w:val="0"/>
        <w:pageBreakBefore w:val="0"/>
        <w:widowControl/>
        <w:kinsoku/>
        <w:wordWrap/>
        <w:overflowPunct/>
        <w:topLinePunct w:val="0"/>
        <w:bidi w:val="0"/>
        <w:spacing w:line="600" w:lineRule="exact"/>
        <w:ind w:left="0" w:right="0" w:firstLine="640" w:firstLineChars="200"/>
        <w:jc w:val="both"/>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2025年度收入11524.02万元，比上年决算数减少2303.48万元，下降16.66%，具体情况如下：</w:t>
      </w:r>
    </w:p>
    <w:p>
      <w:pPr>
        <w:pStyle w:val="20"/>
        <w:keepNext w:val="0"/>
        <w:keepLines w:val="0"/>
        <w:pageBreakBefore w:val="0"/>
        <w:widowControl/>
        <w:kinsoku/>
        <w:wordWrap/>
        <w:overflowPunct/>
        <w:topLinePunct w:val="0"/>
        <w:bidi w:val="0"/>
        <w:spacing w:line="600" w:lineRule="exact"/>
        <w:ind w:left="0" w:right="0" w:firstLine="640" w:firstLineChars="200"/>
        <w:jc w:val="both"/>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1.一般公共预算财政拨款收入11524.02万元。</w:t>
      </w:r>
    </w:p>
    <w:p>
      <w:pPr>
        <w:pStyle w:val="20"/>
        <w:keepNext w:val="0"/>
        <w:keepLines w:val="0"/>
        <w:pageBreakBefore w:val="0"/>
        <w:widowControl/>
        <w:kinsoku/>
        <w:wordWrap/>
        <w:overflowPunct/>
        <w:topLinePunct w:val="0"/>
        <w:bidi w:val="0"/>
        <w:spacing w:line="600" w:lineRule="exact"/>
        <w:ind w:left="0" w:right="0" w:firstLine="640" w:firstLineChars="200"/>
        <w:jc w:val="both"/>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2.政府性基金预算财政拨款收入0万元。</w:t>
      </w:r>
    </w:p>
    <w:p>
      <w:pPr>
        <w:pStyle w:val="20"/>
        <w:keepNext w:val="0"/>
        <w:keepLines w:val="0"/>
        <w:pageBreakBefore w:val="0"/>
        <w:widowControl/>
        <w:kinsoku/>
        <w:wordWrap/>
        <w:overflowPunct/>
        <w:topLinePunct w:val="0"/>
        <w:bidi w:val="0"/>
        <w:spacing w:line="600" w:lineRule="exact"/>
        <w:ind w:left="0" w:right="0" w:firstLine="640" w:firstLineChars="200"/>
        <w:jc w:val="both"/>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3.国有资本经营预算财政拨款收入0万元。</w:t>
      </w:r>
    </w:p>
    <w:p>
      <w:pPr>
        <w:pStyle w:val="20"/>
        <w:keepNext w:val="0"/>
        <w:keepLines w:val="0"/>
        <w:pageBreakBefore w:val="0"/>
        <w:widowControl/>
        <w:kinsoku/>
        <w:wordWrap/>
        <w:overflowPunct/>
        <w:topLinePunct w:val="0"/>
        <w:bidi w:val="0"/>
        <w:spacing w:line="600" w:lineRule="exact"/>
        <w:ind w:left="0" w:right="0" w:firstLine="640" w:firstLineChars="200"/>
        <w:jc w:val="both"/>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4.上级补助收入0万元。</w:t>
      </w:r>
    </w:p>
    <w:p>
      <w:pPr>
        <w:pStyle w:val="20"/>
        <w:keepNext w:val="0"/>
        <w:keepLines w:val="0"/>
        <w:pageBreakBefore w:val="0"/>
        <w:widowControl/>
        <w:kinsoku/>
        <w:wordWrap/>
        <w:overflowPunct/>
        <w:topLinePunct w:val="0"/>
        <w:bidi w:val="0"/>
        <w:spacing w:line="600" w:lineRule="exact"/>
        <w:ind w:left="0" w:right="0" w:firstLine="640" w:firstLineChars="200"/>
        <w:jc w:val="both"/>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5.事业收入0万元。</w:t>
      </w:r>
    </w:p>
    <w:p>
      <w:pPr>
        <w:pStyle w:val="20"/>
        <w:keepNext w:val="0"/>
        <w:keepLines w:val="0"/>
        <w:pageBreakBefore w:val="0"/>
        <w:widowControl/>
        <w:kinsoku/>
        <w:wordWrap/>
        <w:overflowPunct/>
        <w:topLinePunct w:val="0"/>
        <w:bidi w:val="0"/>
        <w:spacing w:line="600" w:lineRule="exact"/>
        <w:ind w:left="0" w:right="0" w:firstLine="640" w:firstLineChars="200"/>
        <w:jc w:val="both"/>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6.经营收入0万元。</w:t>
      </w:r>
    </w:p>
    <w:p>
      <w:pPr>
        <w:pStyle w:val="20"/>
        <w:keepNext w:val="0"/>
        <w:keepLines w:val="0"/>
        <w:pageBreakBefore w:val="0"/>
        <w:widowControl/>
        <w:kinsoku/>
        <w:wordWrap/>
        <w:overflowPunct/>
        <w:topLinePunct w:val="0"/>
        <w:bidi w:val="0"/>
        <w:spacing w:line="600" w:lineRule="exact"/>
        <w:ind w:left="0" w:right="0" w:firstLine="640" w:firstLineChars="200"/>
        <w:jc w:val="both"/>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7.附属单位上缴收入0万元。</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hint="eastAsia" w:ascii="楷体_GB2312" w:hAnsi="仿宋" w:eastAsia="楷体_GB2312" w:cs="仿宋_GB2312"/>
          <w:sz w:val="32"/>
          <w:szCs w:val="32"/>
          <w:highlight w:val="none"/>
        </w:rPr>
      </w:pPr>
      <w:r>
        <w:rPr>
          <w:rFonts w:hint="eastAsia" w:ascii="仿宋_GB2312" w:hAnsi="仿宋_GB2312" w:eastAsia="仿宋_GB2312" w:cs="仿宋_GB2312"/>
          <w:spacing w:val="0"/>
          <w:kern w:val="0"/>
          <w:sz w:val="32"/>
          <w:szCs w:val="32"/>
        </w:rPr>
        <w:t>8.其他收入0万元。</w:t>
      </w:r>
    </w:p>
    <w:p>
      <w:pPr>
        <w:keepNext w:val="0"/>
        <w:keepLines w:val="0"/>
        <w:pageBreakBefore w:val="0"/>
        <w:tabs>
          <w:tab w:val="left" w:pos="7513"/>
        </w:tabs>
        <w:kinsoku/>
        <w:wordWrap/>
        <w:overflowPunct/>
        <w:topLinePunct w:val="0"/>
        <w:bidi w:val="0"/>
        <w:adjustRightInd w:val="0"/>
        <w:snapToGrid w:val="0"/>
        <w:spacing w:line="600" w:lineRule="exact"/>
        <w:ind w:firstLine="643" w:firstLineChars="200"/>
        <w:jc w:val="both"/>
        <w:textAlignment w:val="auto"/>
        <w:rPr>
          <w:rFonts w:hint="eastAsia" w:ascii="楷体_GB2312" w:hAnsi="仿宋" w:eastAsia="楷体_GB2312" w:cs="仿宋_GB2312"/>
          <w:b/>
          <w:bCs/>
          <w:sz w:val="32"/>
          <w:szCs w:val="32"/>
          <w:highlight w:val="none"/>
        </w:rPr>
      </w:pPr>
      <w:r>
        <w:rPr>
          <w:rFonts w:hint="eastAsia" w:ascii="楷体_GB2312" w:hAnsi="仿宋" w:eastAsia="楷体_GB2312" w:cs="仿宋_GB2312"/>
          <w:b/>
          <w:bCs/>
          <w:sz w:val="32"/>
          <w:szCs w:val="32"/>
          <w:highlight w:val="none"/>
        </w:rPr>
        <w:t>（三）支出决算情况说明</w:t>
      </w:r>
    </w:p>
    <w:p>
      <w:pPr>
        <w:keepNext w:val="0"/>
        <w:keepLines w:val="0"/>
        <w:pageBreakBefore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2025年度支出12096.91万元，比上年决算数增加359.76万元，增长3.07%，具体情况如下：</w:t>
      </w:r>
    </w:p>
    <w:p>
      <w:pPr>
        <w:keepNext w:val="0"/>
        <w:keepLines w:val="0"/>
        <w:pageBreakBefore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1.基本支出4872.07万元。其中，人员支出4398.96万元，公用支出473.12万元。</w:t>
      </w:r>
    </w:p>
    <w:p>
      <w:pPr>
        <w:keepNext w:val="0"/>
        <w:keepLines w:val="0"/>
        <w:pageBreakBefore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2.项目支出7224.83万元。</w:t>
      </w:r>
    </w:p>
    <w:p>
      <w:pPr>
        <w:keepNext w:val="0"/>
        <w:keepLines w:val="0"/>
        <w:pageBreakBefore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3.上缴上级支出0万元。</w:t>
      </w:r>
    </w:p>
    <w:p>
      <w:pPr>
        <w:keepNext w:val="0"/>
        <w:keepLines w:val="0"/>
        <w:pageBreakBefore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4.经营支出0万元。</w:t>
      </w:r>
    </w:p>
    <w:p>
      <w:pPr>
        <w:keepNext w:val="0"/>
        <w:keepLines w:val="0"/>
        <w:pageBreakBefore w:val="0"/>
        <w:kinsoku/>
        <w:wordWrap/>
        <w:overflowPunct/>
        <w:topLinePunct w:val="0"/>
        <w:autoSpaceDE w:val="0"/>
        <w:autoSpaceDN w:val="0"/>
        <w:bidi w:val="0"/>
        <w:adjustRightInd w:val="0"/>
        <w:spacing w:line="600" w:lineRule="exact"/>
        <w:ind w:firstLine="640" w:firstLineChars="200"/>
        <w:jc w:val="both"/>
        <w:textAlignment w:val="auto"/>
        <w:rPr>
          <w:rFonts w:hint="eastAsia" w:ascii="黑体" w:hAnsi="黑体" w:eastAsia="黑体"/>
          <w:sz w:val="32"/>
          <w:szCs w:val="32"/>
          <w:highlight w:val="none"/>
        </w:rPr>
      </w:pPr>
      <w:r>
        <w:rPr>
          <w:rFonts w:hint="eastAsia" w:ascii="仿宋_GB2312" w:hAnsi="仿宋_GB2312" w:eastAsia="仿宋_GB2312" w:cs="仿宋_GB2312"/>
          <w:sz w:val="32"/>
          <w:szCs w:val="32"/>
          <w:highlight w:val="none"/>
          <w:lang w:eastAsia="zh-CN"/>
        </w:rPr>
        <w:t>5.对附属单位补助支出0万元。</w:t>
      </w:r>
    </w:p>
    <w:p>
      <w:pPr>
        <w:keepNext w:val="0"/>
        <w:keepLines w:val="0"/>
        <w:pageBreakBefore w:val="0"/>
        <w:kinsoku/>
        <w:wordWrap/>
        <w:overflowPunct/>
        <w:topLinePunct w:val="0"/>
        <w:autoSpaceDE w:val="0"/>
        <w:autoSpaceDN w:val="0"/>
        <w:bidi w:val="0"/>
        <w:adjustRightInd w:val="0"/>
        <w:spacing w:line="600" w:lineRule="exact"/>
        <w:ind w:firstLine="640" w:firstLineChars="200"/>
        <w:jc w:val="both"/>
        <w:textAlignment w:val="auto"/>
        <w:rPr>
          <w:rFonts w:ascii="黑体" w:eastAsia="黑体" w:cs="黑体"/>
          <w:kern w:val="0"/>
          <w:sz w:val="32"/>
          <w:szCs w:val="32"/>
          <w:highlight w:val="none"/>
        </w:rPr>
      </w:pPr>
      <w:r>
        <w:rPr>
          <w:rFonts w:hint="eastAsia" w:ascii="黑体" w:hAnsi="黑体" w:eastAsia="黑体"/>
          <w:sz w:val="32"/>
          <w:szCs w:val="32"/>
          <w:highlight w:val="none"/>
        </w:rPr>
        <w:t>二、</w:t>
      </w:r>
      <w:r>
        <w:rPr>
          <w:rFonts w:hint="eastAsia" w:ascii="黑体" w:eastAsia="黑体" w:cs="黑体"/>
          <w:kern w:val="0"/>
          <w:sz w:val="32"/>
          <w:szCs w:val="32"/>
          <w:highlight w:val="none"/>
        </w:rPr>
        <w:t>财政拨款收入支出决算总体情况说明</w:t>
      </w:r>
    </w:p>
    <w:p>
      <w:pPr>
        <w:keepNext w:val="0"/>
        <w:keepLines w:val="0"/>
        <w:pageBreakBefore w:val="0"/>
        <w:kinsoku/>
        <w:wordWrap/>
        <w:overflowPunct/>
        <w:topLinePunct w:val="0"/>
        <w:autoSpaceDE w:val="0"/>
        <w:autoSpaceDN w:val="0"/>
        <w:bidi w:val="0"/>
        <w:adjustRightInd w:val="0"/>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0"/>
          <w:sz w:val="32"/>
          <w:szCs w:val="32"/>
          <w:highlight w:val="none"/>
          <w:lang w:eastAsia="zh-CN"/>
        </w:rPr>
        <w:t>2025年度财政拨款收入总计14382.64万元，支出总计14382.64万元，与上年决算数相比，各减少2265.64万元，下降13.61%，</w:t>
      </w:r>
      <w:r>
        <w:rPr>
          <w:rFonts w:hint="eastAsia" w:ascii="仿宋_GB2312" w:hAnsi="仿宋_GB2312" w:eastAsia="仿宋_GB2312" w:cs="仿宋_GB2312"/>
          <w:sz w:val="32"/>
          <w:szCs w:val="32"/>
          <w:highlight w:val="none"/>
        </w:rPr>
        <w:t>主要是</w:t>
      </w:r>
      <w:r>
        <w:rPr>
          <w:rFonts w:hint="eastAsia" w:ascii="仿宋_GB2312" w:hAnsi="仿宋_GB2312" w:eastAsia="仿宋_GB2312" w:cs="仿宋_GB2312"/>
          <w:sz w:val="32"/>
          <w:szCs w:val="32"/>
          <w:highlight w:val="none"/>
          <w:lang w:val="en-US" w:eastAsia="zh-CN"/>
        </w:rPr>
        <w:t>厉行节约，严控一般性支出</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autoSpaceDE/>
        <w:autoSpaceDN/>
        <w:bidi w:val="0"/>
        <w:spacing w:line="600" w:lineRule="exact"/>
        <w:ind w:firstLine="640" w:firstLineChars="200"/>
        <w:jc w:val="both"/>
        <w:textAlignment w:val="auto"/>
        <w:rPr>
          <w:rFonts w:ascii="黑体" w:hAnsi="黑体" w:eastAsia="黑体"/>
          <w:sz w:val="32"/>
          <w:szCs w:val="32"/>
          <w:highlight w:val="none"/>
        </w:rPr>
      </w:pPr>
      <w:r>
        <w:rPr>
          <w:rFonts w:hint="eastAsia" w:ascii="黑体" w:hAnsi="黑体" w:eastAsia="黑体"/>
          <w:sz w:val="32"/>
          <w:szCs w:val="32"/>
          <w:highlight w:val="none"/>
        </w:rPr>
        <w:t>三、一般公共预算</w:t>
      </w:r>
      <w:r>
        <w:rPr>
          <w:rFonts w:hint="eastAsia" w:ascii="黑体" w:eastAsia="黑体" w:cs="黑体"/>
          <w:kern w:val="0"/>
          <w:sz w:val="32"/>
          <w:szCs w:val="32"/>
          <w:highlight w:val="none"/>
        </w:rPr>
        <w:t>财政</w:t>
      </w:r>
      <w:r>
        <w:rPr>
          <w:rFonts w:hint="eastAsia" w:ascii="黑体" w:hAnsi="黑体" w:eastAsia="黑体"/>
          <w:sz w:val="32"/>
          <w:szCs w:val="32"/>
          <w:highlight w:val="none"/>
        </w:rPr>
        <w:t>拨款支出决算情况说明</w:t>
      </w:r>
    </w:p>
    <w:p>
      <w:pPr>
        <w:pStyle w:val="20"/>
        <w:keepNext w:val="0"/>
        <w:keepLines w:val="0"/>
        <w:pageBreakBefore w:val="0"/>
        <w:widowControl/>
        <w:kinsoku/>
        <w:wordWrap/>
        <w:overflowPunct/>
        <w:topLinePunct w:val="0"/>
        <w:autoSpaceDE/>
        <w:autoSpaceDN/>
        <w:bidi w:val="0"/>
        <w:spacing w:line="600" w:lineRule="exact"/>
        <w:ind w:left="0" w:right="0" w:firstLine="640"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仿宋_GB2312" w:hAnsi="仿宋_GB2312" w:eastAsia="仿宋_GB2312" w:cs="仿宋_GB2312"/>
          <w:spacing w:val="0"/>
          <w:kern w:val="0"/>
          <w:sz w:val="32"/>
          <w:szCs w:val="32"/>
          <w:highlight w:val="none"/>
        </w:rPr>
        <w:t>2025年度一般公共预算财政拨款支出12096.91万元，比上年决算数增加359.76万元，增长3.07%，具体情况如下(按项级科目分类统计)：</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（一）</w:t>
      </w:r>
      <w:r>
        <w:rPr>
          <w:rFonts w:hint="eastAsia" w:ascii="仿宋_GB2312" w:hAnsi="仿宋_GB2312" w:eastAsia="仿宋_GB2312" w:cs="仿宋_GB2312"/>
          <w:spacing w:val="0"/>
          <w:kern w:val="0"/>
          <w:sz w:val="32"/>
          <w:szCs w:val="32"/>
          <w:highlight w:val="none"/>
        </w:rPr>
        <w:t>2013202 一般行政管理事务 3.29万元，较上年决算数增加3.29万元。主要原因是人才工作经费增加。</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（二）</w:t>
      </w:r>
      <w:r>
        <w:rPr>
          <w:rFonts w:hint="eastAsia" w:ascii="仿宋_GB2312" w:hAnsi="仿宋_GB2312" w:eastAsia="仿宋_GB2312" w:cs="仿宋_GB2312"/>
          <w:spacing w:val="0"/>
          <w:kern w:val="0"/>
          <w:sz w:val="32"/>
          <w:szCs w:val="32"/>
          <w:highlight w:val="none"/>
        </w:rPr>
        <w:t>2080199 其他人力资源和社会保障管理事务支出 550.40万元，较上年决算数减少59.00万元，下降9.68%。主要原因是本年支付的引进生补助减少。</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（三）</w:t>
      </w:r>
      <w:r>
        <w:rPr>
          <w:rFonts w:hint="eastAsia" w:ascii="仿宋_GB2312" w:hAnsi="仿宋_GB2312" w:eastAsia="仿宋_GB2312" w:cs="仿宋_GB2312"/>
          <w:spacing w:val="0"/>
          <w:kern w:val="0"/>
          <w:sz w:val="32"/>
          <w:szCs w:val="32"/>
          <w:highlight w:val="none"/>
        </w:rPr>
        <w:t>2080501 行政单位离退休 619.04万元，较上年决算数减少15.95万元，下降2.51%。主要原因是2025年退休干部人数变动。</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（四）</w:t>
      </w:r>
      <w:r>
        <w:rPr>
          <w:rFonts w:hint="eastAsia" w:ascii="仿宋_GB2312" w:hAnsi="仿宋_GB2312" w:eastAsia="仿宋_GB2312" w:cs="仿宋_GB2312"/>
          <w:spacing w:val="0"/>
          <w:kern w:val="0"/>
          <w:sz w:val="32"/>
          <w:szCs w:val="32"/>
          <w:highlight w:val="none"/>
        </w:rPr>
        <w:t>2080505 机关事业单位基本养老保险缴费支出 300.13万元，较上年决算数减少29.43万元，下降8.93%。主要原因</w:t>
      </w:r>
      <w:r>
        <w:rPr>
          <w:rFonts w:hint="eastAsia" w:ascii="仿宋_GB2312" w:hAnsi="仿宋_GB2312" w:eastAsia="仿宋_GB2312" w:cs="仿宋_GB2312"/>
          <w:spacing w:val="0"/>
          <w:kern w:val="0"/>
          <w:sz w:val="32"/>
          <w:szCs w:val="32"/>
          <w:highlight w:val="none"/>
          <w:lang w:val="en-US" w:eastAsia="zh-CN"/>
        </w:rPr>
        <w:t>2025年度在职人员变动</w:t>
      </w:r>
      <w:r>
        <w:rPr>
          <w:rFonts w:hint="eastAsia" w:ascii="仿宋_GB2312" w:hAnsi="仿宋_GB2312" w:eastAsia="仿宋_GB2312" w:cs="仿宋_GB2312"/>
          <w:spacing w:val="0"/>
          <w:kern w:val="0"/>
          <w:sz w:val="32"/>
          <w:szCs w:val="32"/>
          <w:highlight w:val="none"/>
        </w:rPr>
        <w:t>。</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（五）</w:t>
      </w:r>
      <w:r>
        <w:rPr>
          <w:rFonts w:hint="eastAsia" w:ascii="仿宋_GB2312" w:hAnsi="仿宋_GB2312" w:eastAsia="仿宋_GB2312" w:cs="仿宋_GB2312"/>
          <w:spacing w:val="0"/>
          <w:kern w:val="0"/>
          <w:sz w:val="32"/>
          <w:szCs w:val="32"/>
          <w:highlight w:val="none"/>
        </w:rPr>
        <w:t>2080506 机关事业单位职业年金缴费支出 69.39万元，较上年决算数减少6.61万元，下降8.70%。主要原因是2025年退休干部人数变动。</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（六）</w:t>
      </w:r>
      <w:r>
        <w:rPr>
          <w:rFonts w:hint="eastAsia" w:ascii="仿宋_GB2312" w:hAnsi="仿宋_GB2312" w:eastAsia="仿宋_GB2312" w:cs="仿宋_GB2312"/>
          <w:spacing w:val="0"/>
          <w:kern w:val="0"/>
          <w:sz w:val="32"/>
          <w:szCs w:val="32"/>
          <w:highlight w:val="none"/>
        </w:rPr>
        <w:t>2080801 死亡抚恤 81.12万元，较上年决算数增加30.85万元，增长61.36%。</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（七）</w:t>
      </w:r>
      <w:r>
        <w:rPr>
          <w:rFonts w:hint="eastAsia" w:ascii="仿宋_GB2312" w:hAnsi="仿宋_GB2312" w:eastAsia="仿宋_GB2312" w:cs="仿宋_GB2312"/>
          <w:spacing w:val="0"/>
          <w:kern w:val="0"/>
          <w:sz w:val="32"/>
          <w:szCs w:val="32"/>
          <w:highlight w:val="none"/>
        </w:rPr>
        <w:t>2101101 行政单位医疗 190.35万元，较上年决算数增加22.24万元，增长13.23%。主要原因是人员变动和医疗保险缴费基数调整。</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（八）</w:t>
      </w:r>
      <w:r>
        <w:rPr>
          <w:rFonts w:hint="eastAsia" w:ascii="仿宋_GB2312" w:hAnsi="仿宋_GB2312" w:eastAsia="仿宋_GB2312" w:cs="仿宋_GB2312"/>
          <w:spacing w:val="0"/>
          <w:kern w:val="0"/>
          <w:sz w:val="32"/>
          <w:szCs w:val="32"/>
          <w:highlight w:val="none"/>
        </w:rPr>
        <w:t>2200101 行政运行 3,105.63万元，较上年决算数减少31.07万元，下降0.99%。主要原因是厉行节约，严控一般性支出</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（九）</w:t>
      </w:r>
      <w:r>
        <w:rPr>
          <w:rFonts w:hint="eastAsia" w:ascii="仿宋_GB2312" w:hAnsi="仿宋_GB2312" w:eastAsia="仿宋_GB2312" w:cs="仿宋_GB2312"/>
          <w:spacing w:val="0"/>
          <w:kern w:val="0"/>
          <w:sz w:val="32"/>
          <w:szCs w:val="32"/>
          <w:highlight w:val="none"/>
        </w:rPr>
        <w:t>2200102 一般行政管理事务 1,494.73万元，较上年决算数增加359.25万元，增长31.64%。主要原因是按合同约定支付厅机关附属楼修缮尾款。</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（十）</w:t>
      </w:r>
      <w:r>
        <w:rPr>
          <w:rFonts w:hint="eastAsia" w:ascii="仿宋_GB2312" w:hAnsi="仿宋_GB2312" w:eastAsia="仿宋_GB2312" w:cs="仿宋_GB2312"/>
          <w:spacing w:val="0"/>
          <w:kern w:val="0"/>
          <w:sz w:val="32"/>
          <w:szCs w:val="32"/>
          <w:highlight w:val="none"/>
        </w:rPr>
        <w:t>2200104 自然资源规划及管理 224.75万元，较上年决算数减少85.34万元，下降27.52%。主要原因是2024年实景三维福建建设经费归集至本科目，而2025年归集至2209999 其他自然资源海洋气象等支出科目。</w:t>
      </w:r>
    </w:p>
    <w:p>
      <w:pPr>
        <w:pStyle w:val="20"/>
        <w:keepNext w:val="0"/>
        <w:keepLines w:val="0"/>
        <w:pageBreakBefore w:val="0"/>
        <w:widowControl/>
        <w:kinsoku/>
        <w:wordWrap/>
        <w:overflowPunct/>
        <w:topLinePunct w:val="0"/>
        <w:autoSpaceDE/>
        <w:autoSpaceDN/>
        <w:bidi w:val="0"/>
        <w:spacing w:line="600" w:lineRule="exact"/>
        <w:ind w:left="0" w:right="0" w:firstLine="643" w:firstLineChars="20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（十一）</w:t>
      </w:r>
      <w:r>
        <w:rPr>
          <w:rFonts w:hint="eastAsia" w:ascii="仿宋_GB2312" w:hAnsi="仿宋_GB2312" w:eastAsia="仿宋_GB2312" w:cs="仿宋_GB2312"/>
          <w:spacing w:val="0"/>
          <w:kern w:val="0"/>
          <w:sz w:val="32"/>
          <w:szCs w:val="32"/>
          <w:highlight w:val="none"/>
        </w:rPr>
        <w:t>2200106 自然资源利用与保护 402.43万元，较上年决算数减少247.62万元，下降38.09%。主要原因是国土空间生态修复调查评价等支出减少。</w:t>
      </w:r>
    </w:p>
    <w:p>
      <w:pPr>
        <w:pStyle w:val="20"/>
        <w:keepNext w:val="0"/>
        <w:keepLines w:val="0"/>
        <w:pageBreakBefore w:val="0"/>
        <w:widowControl/>
        <w:kinsoku/>
        <w:wordWrap/>
        <w:overflowPunct/>
        <w:topLinePunct w:val="0"/>
        <w:autoSpaceDE/>
        <w:autoSpaceDN/>
        <w:bidi w:val="0"/>
        <w:spacing w:line="600" w:lineRule="exact"/>
        <w:ind w:left="100" w:right="100" w:firstLine="64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（十二）</w:t>
      </w:r>
      <w:r>
        <w:rPr>
          <w:rFonts w:hint="eastAsia" w:ascii="仿宋_GB2312" w:hAnsi="仿宋_GB2312" w:eastAsia="仿宋_GB2312" w:cs="仿宋_GB2312"/>
          <w:spacing w:val="0"/>
          <w:kern w:val="0"/>
          <w:sz w:val="32"/>
          <w:szCs w:val="32"/>
          <w:highlight w:val="none"/>
        </w:rPr>
        <w:t>2200107 自然资源社会公益服务 703.33万元，较上年决算数增加292.33万元，增长71.13%。主要原因是自然资源科技创新及标准化建设支出增加。</w:t>
      </w:r>
    </w:p>
    <w:p>
      <w:pPr>
        <w:pStyle w:val="20"/>
        <w:keepNext w:val="0"/>
        <w:keepLines w:val="0"/>
        <w:pageBreakBefore w:val="0"/>
        <w:widowControl/>
        <w:kinsoku/>
        <w:wordWrap/>
        <w:overflowPunct/>
        <w:topLinePunct w:val="0"/>
        <w:autoSpaceDE/>
        <w:autoSpaceDN/>
        <w:bidi w:val="0"/>
        <w:spacing w:line="600" w:lineRule="exact"/>
        <w:ind w:left="100" w:right="100" w:firstLine="64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（十三）</w:t>
      </w:r>
      <w:r>
        <w:rPr>
          <w:rFonts w:hint="eastAsia" w:ascii="仿宋_GB2312" w:hAnsi="仿宋_GB2312" w:eastAsia="仿宋_GB2312" w:cs="仿宋_GB2312"/>
          <w:spacing w:val="0"/>
          <w:kern w:val="0"/>
          <w:sz w:val="32"/>
          <w:szCs w:val="32"/>
          <w:highlight w:val="none"/>
        </w:rPr>
        <w:t>2200114 地质勘查与矿产资源管理 424.55万元，较上年决算数减少18.57万元，下降4.19%。主要原因是地质灾害风险系统建设等支出减少。</w:t>
      </w:r>
    </w:p>
    <w:p>
      <w:pPr>
        <w:pStyle w:val="20"/>
        <w:keepNext w:val="0"/>
        <w:keepLines w:val="0"/>
        <w:pageBreakBefore w:val="0"/>
        <w:widowControl/>
        <w:kinsoku/>
        <w:wordWrap/>
        <w:overflowPunct/>
        <w:topLinePunct w:val="0"/>
        <w:autoSpaceDE/>
        <w:autoSpaceDN/>
        <w:bidi w:val="0"/>
        <w:spacing w:line="600" w:lineRule="exact"/>
        <w:ind w:left="100" w:right="100" w:firstLine="64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（十四）</w:t>
      </w:r>
      <w:r>
        <w:rPr>
          <w:rFonts w:hint="eastAsia" w:ascii="仿宋_GB2312" w:hAnsi="仿宋_GB2312" w:eastAsia="仿宋_GB2312" w:cs="仿宋_GB2312"/>
          <w:spacing w:val="0"/>
          <w:kern w:val="0"/>
          <w:sz w:val="32"/>
          <w:szCs w:val="32"/>
          <w:highlight w:val="none"/>
        </w:rPr>
        <w:t>2200120 海域与海岛管理 1,032.81万元，较上年决算数减少615.10万元，下降37.33%。主要原因是2024年拨付2024年及2023年结转的海域海岛（含无居民岛）资源管理及监视监测调查项目资金。</w:t>
      </w:r>
    </w:p>
    <w:p>
      <w:pPr>
        <w:pStyle w:val="20"/>
        <w:keepNext w:val="0"/>
        <w:keepLines w:val="0"/>
        <w:pageBreakBefore w:val="0"/>
        <w:widowControl/>
        <w:kinsoku/>
        <w:wordWrap/>
        <w:overflowPunct/>
        <w:topLinePunct w:val="0"/>
        <w:autoSpaceDE/>
        <w:autoSpaceDN/>
        <w:bidi w:val="0"/>
        <w:spacing w:line="600" w:lineRule="exact"/>
        <w:ind w:left="100" w:right="100" w:firstLine="640"/>
        <w:jc w:val="both"/>
        <w:textAlignment w:val="auto"/>
        <w:rPr>
          <w:rFonts w:hint="eastAsia" w:ascii="仿宋_GB2312" w:hAnsi="仿宋_GB2312" w:eastAsia="仿宋_GB2312" w:cs="仿宋_GB2312"/>
          <w:spacing w:val="0"/>
          <w:kern w:val="0"/>
          <w:sz w:val="32"/>
          <w:szCs w:val="32"/>
          <w:highlight w:val="none"/>
          <w:lang w:eastAsia="zh-CN"/>
        </w:rPr>
      </w:pPr>
      <w:r>
        <w:rPr>
          <w:rFonts w:hint="eastAsia" w:ascii="楷体_GB2312" w:hAnsi="仿宋" w:eastAsia="楷体_GB2312" w:cs="仿宋_GB2312"/>
          <w:b/>
          <w:bCs/>
          <w:spacing w:val="0"/>
          <w:kern w:val="2"/>
          <w:sz w:val="32"/>
          <w:szCs w:val="32"/>
          <w:highlight w:val="none"/>
        </w:rPr>
        <w:t>（十五）</w:t>
      </w:r>
      <w:r>
        <w:rPr>
          <w:rFonts w:hint="eastAsia" w:ascii="仿宋_GB2312" w:hAnsi="仿宋_GB2312" w:eastAsia="仿宋_GB2312" w:cs="仿宋_GB2312"/>
          <w:spacing w:val="0"/>
          <w:kern w:val="0"/>
          <w:sz w:val="32"/>
          <w:szCs w:val="32"/>
          <w:highlight w:val="none"/>
        </w:rPr>
        <w:t>2200199 其他自然资源事务支出 2,392.10万元，较上年决算数增加1,053.64万元，增长78.72%。主要原因是</w:t>
      </w:r>
      <w:r>
        <w:rPr>
          <w:rFonts w:hint="eastAsia" w:ascii="仿宋_GB2312" w:hAnsi="仿宋_GB2312" w:eastAsia="仿宋_GB2312" w:cs="仿宋_GB2312"/>
          <w:spacing w:val="0"/>
          <w:kern w:val="0"/>
          <w:sz w:val="32"/>
          <w:szCs w:val="32"/>
          <w:highlight w:val="none"/>
          <w:lang w:eastAsia="zh-CN"/>
        </w:rPr>
        <w:t>自然资源信息化建设经费和全民所有自然资源资产清查和平衡表编制经费减少。</w:t>
      </w:r>
    </w:p>
    <w:p>
      <w:pPr>
        <w:pStyle w:val="20"/>
        <w:keepNext w:val="0"/>
        <w:keepLines w:val="0"/>
        <w:pageBreakBefore w:val="0"/>
        <w:widowControl/>
        <w:kinsoku/>
        <w:wordWrap/>
        <w:overflowPunct/>
        <w:topLinePunct w:val="0"/>
        <w:autoSpaceDE/>
        <w:autoSpaceDN/>
        <w:bidi w:val="0"/>
        <w:spacing w:line="600" w:lineRule="exact"/>
        <w:ind w:left="100" w:right="100" w:firstLine="64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（十六）</w:t>
      </w:r>
      <w:r>
        <w:rPr>
          <w:rFonts w:hint="eastAsia" w:ascii="仿宋_GB2312" w:hAnsi="仿宋_GB2312" w:eastAsia="仿宋_GB2312" w:cs="仿宋_GB2312"/>
          <w:spacing w:val="0"/>
          <w:kern w:val="0"/>
          <w:sz w:val="32"/>
          <w:szCs w:val="32"/>
          <w:highlight w:val="none"/>
        </w:rPr>
        <w:t>2210201 住房公积金 445.15万元，较上年决算数增加15.92万元，增长3.71%。主要原因是住房公积金基数调整。</w:t>
      </w:r>
    </w:p>
    <w:p>
      <w:pPr>
        <w:pStyle w:val="20"/>
        <w:keepNext w:val="0"/>
        <w:keepLines w:val="0"/>
        <w:pageBreakBefore w:val="0"/>
        <w:widowControl/>
        <w:kinsoku/>
        <w:wordWrap/>
        <w:overflowPunct/>
        <w:topLinePunct w:val="0"/>
        <w:autoSpaceDE/>
        <w:autoSpaceDN/>
        <w:bidi w:val="0"/>
        <w:spacing w:line="600" w:lineRule="exact"/>
        <w:ind w:left="100" w:right="100" w:firstLine="640"/>
        <w:jc w:val="both"/>
        <w:textAlignment w:val="auto"/>
        <w:rPr>
          <w:rFonts w:hint="eastAsia" w:ascii="仿宋_GB2312" w:hAnsi="仿宋_GB2312" w:eastAsia="仿宋_GB2312" w:cs="仿宋_GB2312"/>
          <w:spacing w:val="0"/>
          <w:kern w:val="0"/>
          <w:sz w:val="32"/>
          <w:szCs w:val="32"/>
          <w:highlight w:val="none"/>
        </w:rPr>
      </w:pPr>
      <w:r>
        <w:rPr>
          <w:rFonts w:hint="eastAsia" w:ascii="楷体_GB2312" w:hAnsi="仿宋" w:eastAsia="楷体_GB2312" w:cs="仿宋_GB2312"/>
          <w:b/>
          <w:bCs/>
          <w:spacing w:val="0"/>
          <w:kern w:val="2"/>
          <w:sz w:val="32"/>
          <w:szCs w:val="32"/>
          <w:highlight w:val="none"/>
        </w:rPr>
        <w:t>（十七）</w:t>
      </w:r>
      <w:r>
        <w:rPr>
          <w:rFonts w:hint="eastAsia" w:ascii="仿宋_GB2312" w:hAnsi="仿宋_GB2312" w:eastAsia="仿宋_GB2312" w:cs="仿宋_GB2312"/>
          <w:spacing w:val="0"/>
          <w:kern w:val="0"/>
          <w:sz w:val="32"/>
          <w:szCs w:val="32"/>
          <w:highlight w:val="none"/>
        </w:rPr>
        <w:t>2210202 提租补贴 57.72万元，较上年决算数减少2.03万元，下降3.40%。主要原因是厅机关在职人员变动。</w:t>
      </w:r>
    </w:p>
    <w:p>
      <w:pPr>
        <w:keepNext w:val="0"/>
        <w:keepLines w:val="0"/>
        <w:pageBreakBefore w:val="0"/>
        <w:tabs>
          <w:tab w:val="left" w:pos="7513"/>
        </w:tabs>
        <w:kinsoku/>
        <w:wordWrap/>
        <w:overflowPunct/>
        <w:topLinePunct w:val="0"/>
        <w:autoSpaceDE/>
        <w:autoSpaceDN/>
        <w:bidi w:val="0"/>
        <w:adjustRightInd w:val="0"/>
        <w:snapToGrid w:val="0"/>
        <w:spacing w:line="600" w:lineRule="exact"/>
        <w:ind w:firstLine="640" w:firstLineChars="200"/>
        <w:jc w:val="both"/>
        <w:textAlignment w:val="auto"/>
        <w:rPr>
          <w:rFonts w:ascii="黑体" w:hAnsi="黑体" w:eastAsia="黑体" w:cs="仿宋_GB2312"/>
          <w:bCs/>
          <w:sz w:val="32"/>
          <w:szCs w:val="32"/>
          <w:highlight w:val="none"/>
        </w:rPr>
      </w:pPr>
      <w:r>
        <w:rPr>
          <w:rFonts w:hint="eastAsia" w:ascii="黑体" w:hAnsi="黑体" w:eastAsia="黑体" w:cs="仿宋_GB2312"/>
          <w:bCs/>
          <w:sz w:val="32"/>
          <w:szCs w:val="32"/>
          <w:highlight w:val="none"/>
        </w:rPr>
        <w:t>四、政府性基金预算财政拨款支出决算情况说明</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本单位2025年度没有使用政府性基金预算财政拨款安排的支出。</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ascii="黑体" w:hAnsi="黑体" w:eastAsia="黑体" w:cs="仿宋_GB2312"/>
          <w:bCs/>
          <w:sz w:val="32"/>
          <w:szCs w:val="32"/>
          <w:highlight w:val="none"/>
        </w:rPr>
      </w:pPr>
      <w:r>
        <w:rPr>
          <w:rFonts w:hint="eastAsia" w:ascii="黑体" w:hAnsi="黑体" w:eastAsia="黑体" w:cs="仿宋_GB2312"/>
          <w:bCs/>
          <w:sz w:val="32"/>
          <w:szCs w:val="32"/>
          <w:highlight w:val="none"/>
        </w:rPr>
        <w:t>五、国有资本经营预算财政拨款支出决算情况说明</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spacing w:val="0"/>
          <w:kern w:val="0"/>
          <w:sz w:val="32"/>
          <w:szCs w:val="32"/>
          <w:lang w:val="en-US" w:eastAsia="zh-CN" w:bidi="ar-SA"/>
        </w:rPr>
      </w:pPr>
      <w:r>
        <w:rPr>
          <w:rFonts w:hint="eastAsia" w:ascii="仿宋_GB2312" w:hAnsi="仿宋_GB2312" w:eastAsia="仿宋_GB2312" w:cs="仿宋_GB2312"/>
          <w:sz w:val="32"/>
          <w:szCs w:val="32"/>
          <w:highlight w:val="none"/>
          <w:lang w:eastAsia="zh-CN"/>
        </w:rPr>
        <w:t>本单位2025年度没有使用国有资本经营预算财政拨款安排的支出。</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ascii="黑体" w:hAnsi="黑体" w:eastAsia="黑体" w:cs="仿宋_GB2312"/>
          <w:bCs/>
          <w:sz w:val="32"/>
          <w:szCs w:val="32"/>
          <w:highlight w:val="none"/>
        </w:rPr>
      </w:pPr>
      <w:r>
        <w:rPr>
          <w:rFonts w:hint="eastAsia" w:ascii="黑体" w:hAnsi="黑体" w:eastAsia="黑体" w:cs="仿宋_GB2312"/>
          <w:bCs/>
          <w:sz w:val="32"/>
          <w:szCs w:val="32"/>
          <w:highlight w:val="none"/>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2025年度一般公共预算财政拨款基本支出4872.07万元，其中：</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both"/>
        <w:textAlignment w:val="auto"/>
        <w:rPr>
          <w:rFonts w:hint="eastAsia" w:ascii="仿宋_GB2312" w:hAnsi="仿宋_GB2312" w:eastAsia="仿宋_GB2312" w:cs="仿宋_GB2312"/>
          <w:sz w:val="32"/>
          <w:szCs w:val="32"/>
          <w:highlight w:val="none"/>
          <w:lang w:eastAsia="zh-CN"/>
        </w:rPr>
      </w:pPr>
      <w:r>
        <w:rPr>
          <w:rFonts w:hint="eastAsia" w:ascii="楷体_GB2312" w:hAnsi="仿宋" w:eastAsia="楷体_GB2312" w:cs="仿宋_GB2312"/>
          <w:b/>
          <w:bCs/>
          <w:sz w:val="32"/>
          <w:szCs w:val="32"/>
          <w:highlight w:val="none"/>
          <w:lang w:eastAsia="zh-CN"/>
        </w:rPr>
        <w:t>（一）</w:t>
      </w:r>
      <w:r>
        <w:rPr>
          <w:rFonts w:hint="eastAsia" w:ascii="仿宋_GB2312" w:hAnsi="仿宋_GB2312" w:eastAsia="仿宋_GB2312" w:cs="仿宋_GB2312"/>
          <w:sz w:val="32"/>
          <w:szCs w:val="32"/>
          <w:highlight w:val="none"/>
          <w:lang w:eastAsia="zh-CN"/>
        </w:rPr>
        <w:t>人员经费4398.96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keepNext w:val="0"/>
        <w:keepLines w:val="0"/>
        <w:pageBreakBefore w:val="0"/>
        <w:tabs>
          <w:tab w:val="left" w:pos="7513"/>
        </w:tabs>
        <w:kinsoku/>
        <w:wordWrap/>
        <w:overflowPunct/>
        <w:topLinePunct w:val="0"/>
        <w:bidi w:val="0"/>
        <w:adjustRightInd w:val="0"/>
        <w:snapToGrid w:val="0"/>
        <w:spacing w:line="600" w:lineRule="exact"/>
        <w:ind w:firstLine="643" w:firstLineChars="200"/>
        <w:jc w:val="both"/>
        <w:textAlignment w:val="auto"/>
        <w:rPr>
          <w:rFonts w:hint="eastAsia" w:ascii="黑体" w:hAnsi="黑体" w:eastAsia="黑体" w:cs="仿宋_GB2312"/>
          <w:bCs/>
          <w:sz w:val="32"/>
          <w:szCs w:val="32"/>
          <w:highlight w:val="none"/>
        </w:rPr>
      </w:pPr>
      <w:r>
        <w:rPr>
          <w:rFonts w:hint="eastAsia" w:ascii="楷体_GB2312" w:hAnsi="仿宋" w:eastAsia="楷体_GB2312" w:cs="仿宋_GB2312"/>
          <w:b/>
          <w:bCs/>
          <w:sz w:val="32"/>
          <w:szCs w:val="32"/>
          <w:highlight w:val="none"/>
          <w:lang w:eastAsia="zh-CN"/>
        </w:rPr>
        <w:t>（二）</w:t>
      </w:r>
      <w:r>
        <w:rPr>
          <w:rFonts w:hint="eastAsia" w:ascii="仿宋_GB2312" w:hAnsi="仿宋_GB2312" w:eastAsia="仿宋_GB2312" w:cs="仿宋_GB2312"/>
          <w:sz w:val="32"/>
          <w:szCs w:val="32"/>
          <w:highlight w:val="none"/>
          <w:lang w:eastAsia="zh-CN"/>
        </w:rPr>
        <w:t>公用经费473.12万元，主要包括：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ascii="黑体" w:hAnsi="黑体" w:eastAsia="黑体" w:cs="仿宋_GB2312"/>
          <w:bCs/>
          <w:sz w:val="32"/>
          <w:szCs w:val="32"/>
          <w:highlight w:val="none"/>
        </w:rPr>
      </w:pPr>
      <w:r>
        <w:rPr>
          <w:rFonts w:hint="eastAsia" w:ascii="黑体" w:hAnsi="黑体" w:eastAsia="黑体" w:cs="仿宋_GB2312"/>
          <w:bCs/>
          <w:sz w:val="32"/>
          <w:szCs w:val="32"/>
          <w:highlight w:val="none"/>
        </w:rPr>
        <w:t>七、</w:t>
      </w:r>
      <w:r>
        <w:rPr>
          <w:rFonts w:hint="eastAsia" w:ascii="黑体" w:hAnsi="黑体" w:eastAsia="黑体"/>
          <w:sz w:val="32"/>
          <w:szCs w:val="32"/>
          <w:highlight w:val="none"/>
        </w:rPr>
        <w:t>一般公共预算</w:t>
      </w:r>
      <w:r>
        <w:rPr>
          <w:rFonts w:hint="eastAsia" w:ascii="黑体" w:hAnsi="黑体" w:eastAsia="黑体"/>
          <w:sz w:val="32"/>
          <w:szCs w:val="32"/>
          <w:highlight w:val="none"/>
          <w:lang w:eastAsia="zh-CN"/>
        </w:rPr>
        <w:t>财政</w:t>
      </w:r>
      <w:r>
        <w:rPr>
          <w:rFonts w:hint="eastAsia" w:ascii="黑体" w:hAnsi="黑体" w:eastAsia="黑体"/>
          <w:sz w:val="32"/>
          <w:szCs w:val="32"/>
          <w:highlight w:val="none"/>
        </w:rPr>
        <w:t>拨款</w:t>
      </w:r>
      <w:r>
        <w:rPr>
          <w:rFonts w:hint="eastAsia" w:ascii="黑体" w:hAnsi="黑体" w:eastAsia="黑体" w:cs="仿宋_GB2312"/>
          <w:bCs/>
          <w:sz w:val="32"/>
          <w:szCs w:val="32"/>
          <w:highlight w:val="none"/>
        </w:rPr>
        <w:t>“三公”经费支出决算情况说明</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6"/>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2025年度一般公共预算财政拨款“三公”经费支出34.10万元，完成全年预算的30.63%；较上年减少46.38万元，下降57.63%。主要原因是因公出国（境）费及公务用车购置支出减少。具体情况如下：</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6"/>
        <w:jc w:val="both"/>
        <w:textAlignment w:val="auto"/>
        <w:rPr>
          <w:rFonts w:hint="eastAsia" w:ascii="仿宋_GB2312" w:hAnsi="仿宋_GB2312" w:eastAsia="仿宋_GB2312" w:cs="仿宋_GB2312"/>
          <w:sz w:val="32"/>
          <w:szCs w:val="32"/>
          <w:highlight w:val="none"/>
          <w:lang w:eastAsia="zh-CN"/>
        </w:rPr>
      </w:pPr>
      <w:r>
        <w:rPr>
          <w:rFonts w:hint="eastAsia" w:ascii="楷体_GB2312" w:hAnsi="仿宋" w:eastAsia="楷体_GB2312" w:cs="仿宋_GB2312"/>
          <w:b/>
          <w:bCs/>
          <w:sz w:val="32"/>
          <w:szCs w:val="32"/>
          <w:highlight w:val="none"/>
          <w:lang w:eastAsia="zh-CN"/>
        </w:rPr>
        <w:t>（一）</w:t>
      </w:r>
      <w:r>
        <w:rPr>
          <w:rFonts w:hint="eastAsia" w:ascii="仿宋_GB2312" w:hAnsi="仿宋_GB2312" w:eastAsia="仿宋_GB2312" w:cs="仿宋_GB2312"/>
          <w:sz w:val="32"/>
          <w:szCs w:val="32"/>
          <w:highlight w:val="none"/>
          <w:lang w:eastAsia="zh-CN"/>
        </w:rPr>
        <w:t>因公出国（境）费用支出 2.57万元，完成全年预算的4.67%；较上年减少2.65万元，下降50.72%。全年安排本单位组织的出国团组1个，参加其他部门出国团组0个；全年因公出国（境）累计1人次。主要开支国际旅费、住宿费、伙食费、国外城市间交通费等。</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6"/>
        <w:jc w:val="both"/>
        <w:textAlignment w:val="auto"/>
        <w:rPr>
          <w:rFonts w:hint="eastAsia" w:ascii="仿宋_GB2312" w:hAnsi="仿宋_GB2312" w:eastAsia="仿宋_GB2312" w:cs="仿宋_GB2312"/>
          <w:sz w:val="32"/>
          <w:szCs w:val="32"/>
          <w:highlight w:val="none"/>
          <w:lang w:eastAsia="zh-CN"/>
        </w:rPr>
      </w:pPr>
      <w:r>
        <w:rPr>
          <w:rFonts w:hint="eastAsia" w:ascii="楷体_GB2312" w:hAnsi="仿宋" w:eastAsia="楷体_GB2312" w:cs="仿宋_GB2312"/>
          <w:b/>
          <w:bCs/>
          <w:sz w:val="32"/>
          <w:szCs w:val="32"/>
          <w:highlight w:val="none"/>
          <w:lang w:eastAsia="zh-CN"/>
        </w:rPr>
        <w:t>（二）</w:t>
      </w:r>
      <w:r>
        <w:rPr>
          <w:rFonts w:hint="eastAsia" w:ascii="仿宋_GB2312" w:hAnsi="仿宋_GB2312" w:eastAsia="仿宋_GB2312" w:cs="仿宋_GB2312"/>
          <w:sz w:val="32"/>
          <w:szCs w:val="32"/>
          <w:highlight w:val="none"/>
          <w:lang w:eastAsia="zh-CN"/>
        </w:rPr>
        <w:t>公务用车购置及运行费支出25.27万元，完成全年预算的47.31%；较上年减少41.60万元，下降62.21%。其中：</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6"/>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公务用车购置费支出0万元，与全年预算数持平，较上年减少25.00万元，下降100.00%。2025年公务用车购置0辆，主要是2025年公务用车购置</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lang w:eastAsia="zh-CN"/>
        </w:rPr>
        <w:t>辆，较2024年车辆更新购置数量减少。</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6"/>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公务用车运行费支出25.27万元，完成全年预算的47.31%；较上年减少16.60万元，下降39.65%。主要是主要是厉行节约，严格落实过紧日子要求。截至2025年12月31日，本单位公务用车保有量为14辆。</w:t>
      </w:r>
    </w:p>
    <w:p>
      <w:pPr>
        <w:keepNext w:val="0"/>
        <w:keepLines w:val="0"/>
        <w:pageBreakBefore w:val="0"/>
        <w:widowControl w:val="0"/>
        <w:numPr>
          <w:ilvl w:val="0"/>
          <w:numId w:val="1"/>
        </w:numPr>
        <w:tabs>
          <w:tab w:val="left" w:pos="7513"/>
        </w:tabs>
        <w:kinsoku/>
        <w:wordWrap/>
        <w:overflowPunct/>
        <w:topLinePunct w:val="0"/>
        <w:autoSpaceDE/>
        <w:autoSpaceDN/>
        <w:bidi w:val="0"/>
        <w:adjustRightInd w:val="0"/>
        <w:snapToGrid w:val="0"/>
        <w:spacing w:line="600" w:lineRule="exact"/>
        <w:ind w:firstLine="646"/>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公务接待费支出6.27万元，完成全年预算的 41.97%；较上年减少2.13万元，下降25.40%。主要是要是厉行节约，严格落实过紧日子要求。累计接待37批次、420人次。</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ascii="黑体" w:hAnsi="黑体" w:eastAsia="黑体"/>
          <w:sz w:val="32"/>
          <w:szCs w:val="32"/>
          <w:highlight w:val="none"/>
        </w:rPr>
      </w:pPr>
      <w:r>
        <w:rPr>
          <w:rFonts w:hint="eastAsia" w:ascii="黑体" w:hAnsi="黑体" w:eastAsia="黑体"/>
          <w:sz w:val="32"/>
          <w:szCs w:val="32"/>
          <w:highlight w:val="none"/>
        </w:rPr>
        <w:t>八、预算绩效情况说明</w:t>
      </w:r>
    </w:p>
    <w:p>
      <w:pPr>
        <w:pStyle w:val="20"/>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outlineLvl w:val="9"/>
        <w:rPr>
          <w:rFonts w:hint="eastAsia" w:ascii="仿宋_GB2312" w:hAnsi="仿宋_GB2312" w:eastAsia="仿宋_GB2312" w:cs="仿宋_GB2312"/>
          <w:spacing w:val="0"/>
          <w:kern w:val="0"/>
          <w:sz w:val="32"/>
          <w:szCs w:val="32"/>
          <w:highlight w:val="none"/>
          <w:lang w:eastAsia="zh-CN"/>
        </w:rPr>
      </w:pPr>
      <w:r>
        <w:rPr>
          <w:rFonts w:hint="eastAsia" w:ascii="仿宋_GB2312" w:hAnsi="仿宋_GB2312" w:eastAsia="仿宋_GB2312" w:cs="仿宋_GB2312"/>
          <w:spacing w:val="0"/>
          <w:kern w:val="0"/>
          <w:sz w:val="32"/>
          <w:szCs w:val="32"/>
          <w:highlight w:val="none"/>
        </w:rPr>
        <w:t>根据全面实施预算绩效管理要求，本单位组织对2025年度</w:t>
      </w:r>
      <w:r>
        <w:rPr>
          <w:rFonts w:hint="eastAsia" w:ascii="仿宋_GB2312" w:hAnsi="仿宋_GB2312" w:eastAsia="仿宋_GB2312" w:cs="仿宋_GB2312"/>
          <w:spacing w:val="0"/>
          <w:kern w:val="0"/>
          <w:sz w:val="32"/>
          <w:szCs w:val="32"/>
          <w:highlight w:val="none"/>
          <w:lang w:val="en-US" w:eastAsia="zh-CN"/>
        </w:rPr>
        <w:t>2</w:t>
      </w:r>
      <w:r>
        <w:rPr>
          <w:rFonts w:hint="eastAsia" w:ascii="仿宋_GB2312" w:hAnsi="仿宋_GB2312" w:eastAsia="仿宋_GB2312" w:cs="仿宋_GB2312"/>
          <w:spacing w:val="0"/>
          <w:kern w:val="0"/>
          <w:sz w:val="32"/>
          <w:szCs w:val="32"/>
          <w:highlight w:val="none"/>
        </w:rPr>
        <w:t>个项目实施单位自评</w:t>
      </w:r>
      <w:r>
        <w:rPr>
          <w:rFonts w:hint="eastAsia" w:ascii="仿宋_GB2312" w:hAnsi="仿宋_GB2312" w:eastAsia="仿宋_GB2312" w:cs="仿宋_GB2312"/>
          <w:spacing w:val="0"/>
          <w:kern w:val="0"/>
          <w:sz w:val="32"/>
          <w:szCs w:val="32"/>
          <w:highlight w:val="none"/>
          <w:lang w:eastAsia="zh-CN"/>
        </w:rPr>
        <w:t>，</w:t>
      </w:r>
      <w:r>
        <w:rPr>
          <w:rFonts w:hint="eastAsia" w:ascii="仿宋_GB2312" w:hAnsi="仿宋_GB2312" w:eastAsia="仿宋_GB2312" w:cs="仿宋_GB2312"/>
          <w:kern w:val="0"/>
          <w:sz w:val="32"/>
          <w:szCs w:val="32"/>
          <w:highlight w:val="none"/>
        </w:rPr>
        <w:t>（详见《项目支出绩效自评表》）</w:t>
      </w:r>
      <w:r>
        <w:rPr>
          <w:rFonts w:hint="eastAsia" w:ascii="仿宋_GB2312" w:hAnsi="仿宋_GB2312" w:eastAsia="仿宋_GB2312" w:cs="仿宋_GB2312"/>
          <w:spacing w:val="0"/>
          <w:kern w:val="0"/>
          <w:sz w:val="32"/>
          <w:szCs w:val="32"/>
          <w:highlight w:val="none"/>
        </w:rPr>
        <w:t>。</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ascii="黑体" w:hAnsi="黑体" w:eastAsia="黑体"/>
          <w:sz w:val="32"/>
          <w:szCs w:val="32"/>
          <w:highlight w:val="none"/>
        </w:rPr>
      </w:pPr>
      <w:r>
        <w:rPr>
          <w:rFonts w:hint="eastAsia" w:ascii="黑体" w:hAnsi="黑体" w:eastAsia="黑体"/>
          <w:sz w:val="32"/>
          <w:szCs w:val="32"/>
          <w:highlight w:val="none"/>
        </w:rPr>
        <w:t>九、其他重要事项说明</w:t>
      </w:r>
    </w:p>
    <w:p>
      <w:pPr>
        <w:keepNext w:val="0"/>
        <w:keepLines w:val="0"/>
        <w:pageBreakBefore w:val="0"/>
        <w:tabs>
          <w:tab w:val="left" w:pos="7513"/>
        </w:tabs>
        <w:kinsoku/>
        <w:wordWrap/>
        <w:overflowPunct/>
        <w:topLinePunct w:val="0"/>
        <w:bidi w:val="0"/>
        <w:adjustRightInd w:val="0"/>
        <w:snapToGrid w:val="0"/>
        <w:spacing w:line="600" w:lineRule="exact"/>
        <w:ind w:firstLine="643" w:firstLineChars="200"/>
        <w:jc w:val="both"/>
        <w:textAlignment w:val="auto"/>
        <w:rPr>
          <w:rFonts w:hint="eastAsia" w:ascii="楷体_GB2312" w:hAnsi="楷体_GB2312" w:eastAsia="楷体_GB2312" w:cs="楷体_GB2312"/>
          <w:bCs/>
          <w:sz w:val="32"/>
          <w:szCs w:val="32"/>
          <w:highlight w:val="none"/>
        </w:rPr>
      </w:pPr>
      <w:r>
        <w:rPr>
          <w:rFonts w:hint="eastAsia" w:ascii="楷体_GB2312" w:hAnsi="楷体_GB2312" w:eastAsia="楷体_GB2312" w:cs="楷体_GB2312"/>
          <w:b/>
          <w:sz w:val="32"/>
          <w:szCs w:val="32"/>
          <w:highlight w:val="none"/>
        </w:rPr>
        <w:t>（一）机关运行经费</w:t>
      </w:r>
      <w:r>
        <w:rPr>
          <w:rFonts w:hint="eastAsia" w:ascii="楷体_GB2312" w:hAnsi="楷体_GB2312" w:eastAsia="楷体_GB2312" w:cs="楷体_GB2312"/>
          <w:bCs/>
          <w:sz w:val="32"/>
          <w:szCs w:val="32"/>
          <w:highlight w:val="none"/>
        </w:rPr>
        <w:t xml:space="preserve"> </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spacing w:val="0"/>
          <w:kern w:val="0"/>
          <w:sz w:val="32"/>
          <w:szCs w:val="32"/>
          <w:lang w:val="en-US" w:eastAsia="zh-CN" w:bidi="ar-SA"/>
        </w:rPr>
      </w:pPr>
      <w:r>
        <w:rPr>
          <w:rFonts w:hint="eastAsia" w:ascii="仿宋_GB2312" w:hAnsi="仿宋_GB2312" w:eastAsia="仿宋_GB2312" w:cs="仿宋_GB2312"/>
          <w:spacing w:val="0"/>
          <w:kern w:val="0"/>
          <w:sz w:val="32"/>
          <w:szCs w:val="32"/>
        </w:rPr>
        <w:t>2025年度机关运行经费支出473.12万元，比上年决算数减少130.73万元，下降21.65%，主要原因是坚持厉行节约，严格落实过紧日子要求。</w:t>
      </w:r>
    </w:p>
    <w:p>
      <w:pPr>
        <w:keepNext w:val="0"/>
        <w:keepLines w:val="0"/>
        <w:pageBreakBefore w:val="0"/>
        <w:tabs>
          <w:tab w:val="left" w:pos="7513"/>
        </w:tabs>
        <w:kinsoku/>
        <w:wordWrap/>
        <w:overflowPunct/>
        <w:topLinePunct w:val="0"/>
        <w:autoSpaceDE/>
        <w:autoSpaceDN/>
        <w:bidi w:val="0"/>
        <w:adjustRightInd w:val="0"/>
        <w:snapToGrid w:val="0"/>
        <w:spacing w:line="600" w:lineRule="exact"/>
        <w:ind w:firstLine="643" w:firstLineChars="200"/>
        <w:jc w:val="both"/>
        <w:textAlignment w:val="auto"/>
        <w:rPr>
          <w:rFonts w:hint="eastAsia" w:ascii="楷体_GB2312" w:hAnsi="楷体_GB2312" w:eastAsia="楷体_GB2312" w:cs="楷体_GB2312"/>
          <w:b/>
          <w:kern w:val="2"/>
          <w:sz w:val="32"/>
          <w:szCs w:val="32"/>
          <w:highlight w:val="none"/>
        </w:rPr>
      </w:pPr>
      <w:r>
        <w:rPr>
          <w:rFonts w:hint="eastAsia" w:ascii="楷体_GB2312" w:hAnsi="楷体_GB2312" w:eastAsia="楷体_GB2312" w:cs="楷体_GB2312"/>
          <w:b/>
          <w:sz w:val="32"/>
          <w:szCs w:val="32"/>
          <w:highlight w:val="none"/>
        </w:rPr>
        <w:t>（二）政府采购情况</w:t>
      </w:r>
    </w:p>
    <w:p>
      <w:pPr>
        <w:keepNext w:val="0"/>
        <w:keepLines w:val="0"/>
        <w:pageBreakBefore w:val="0"/>
        <w:tabs>
          <w:tab w:val="left" w:pos="7513"/>
        </w:tabs>
        <w:kinsoku/>
        <w:wordWrap/>
        <w:overflowPunct/>
        <w:topLinePunct w:val="0"/>
        <w:bidi w:val="0"/>
        <w:adjustRightInd w:val="0"/>
        <w:snapToGrid w:val="0"/>
        <w:spacing w:line="600" w:lineRule="exact"/>
        <w:ind w:firstLine="704" w:firstLineChars="220"/>
        <w:jc w:val="both"/>
        <w:textAlignment w:val="auto"/>
        <w:rPr>
          <w:rFonts w:hint="eastAsia" w:ascii="楷体" w:hAnsi="楷体" w:eastAsia="楷体"/>
          <w:b/>
          <w:sz w:val="32"/>
          <w:szCs w:val="32"/>
          <w:highlight w:val="none"/>
        </w:rPr>
      </w:pPr>
      <w:r>
        <w:rPr>
          <w:rFonts w:hint="eastAsia" w:ascii="仿宋_GB2312" w:hAnsi="仿宋_GB2312" w:eastAsia="仿宋_GB2312" w:cs="仿宋_GB2312"/>
          <w:sz w:val="32"/>
          <w:szCs w:val="32"/>
          <w:highlight w:val="none"/>
        </w:rPr>
        <w:t>本单位2025年度政府采购支出总额3197.08万元，其中：政府采购货物支出0万元、政府采购工程支出742.60万元、政府采购服务支出2454.48万元。授予中小企业合同金额1188.42万元，占政府采购支出总额的37.17%，其中：授予小微企业合同金额162.02万元，占授予中小企业合同金额的13.63%；工程采购授予中小企业合同金额占工程支出金额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%，服务采购授予中小企业合同金额占服务支出金额的</w:t>
      </w:r>
      <w:r>
        <w:rPr>
          <w:rFonts w:hint="eastAsia" w:ascii="仿宋_GB2312" w:hAnsi="仿宋_GB2312" w:eastAsia="仿宋_GB2312" w:cs="仿宋_GB2312"/>
          <w:sz w:val="32"/>
          <w:szCs w:val="32"/>
          <w:highlight w:val="none"/>
          <w:lang w:val="en-US" w:eastAsia="zh-CN"/>
        </w:rPr>
        <w:t>18.16</w:t>
      </w:r>
      <w:r>
        <w:rPr>
          <w:rFonts w:hint="eastAsia" w:ascii="仿宋_GB2312" w:hAnsi="仿宋_GB2312" w:eastAsia="仿宋_GB2312" w:cs="仿宋_GB2312"/>
          <w:sz w:val="32"/>
          <w:szCs w:val="32"/>
          <w:highlight w:val="none"/>
        </w:rPr>
        <w:t>%。</w:t>
      </w:r>
    </w:p>
    <w:p>
      <w:pPr>
        <w:keepNext w:val="0"/>
        <w:keepLines w:val="0"/>
        <w:pageBreakBefore w:val="0"/>
        <w:tabs>
          <w:tab w:val="left" w:pos="7513"/>
        </w:tabs>
        <w:kinsoku/>
        <w:wordWrap/>
        <w:overflowPunct/>
        <w:topLinePunct w:val="0"/>
        <w:bidi w:val="0"/>
        <w:adjustRightInd w:val="0"/>
        <w:snapToGrid w:val="0"/>
        <w:spacing w:line="600" w:lineRule="exact"/>
        <w:ind w:firstLine="643" w:firstLineChars="200"/>
        <w:jc w:val="both"/>
        <w:textAlignment w:val="auto"/>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 xml:space="preserve">（三）国有资产占用使用情况 </w:t>
      </w:r>
    </w:p>
    <w:p>
      <w:pPr>
        <w:keepNext w:val="0"/>
        <w:keepLines w:val="0"/>
        <w:pageBreakBefore w:val="0"/>
        <w:tabs>
          <w:tab w:val="left" w:pos="7513"/>
        </w:tabs>
        <w:kinsoku/>
        <w:wordWrap/>
        <w:overflowPunct/>
        <w:topLinePunct w:val="0"/>
        <w:bidi w:val="0"/>
        <w:adjustRightInd w:val="0"/>
        <w:snapToGrid w:val="0"/>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2025年12月31日，本单位共有车辆14辆，其中：副部（省）级以上领导用车0辆、主要负责人用车1辆、机要通信用车2辆、应急保障用车3辆、执法执勤用车0辆、特种专业技术用车1辆、离退休干部服务用车6辆、其他用车1辆，其他用车主要是</w:t>
      </w:r>
      <w:r>
        <w:rPr>
          <w:rFonts w:hint="eastAsia" w:ascii="仿宋_GB2312" w:hAnsi="仿宋_GB2312" w:eastAsia="仿宋_GB2312" w:cs="仿宋_GB2312"/>
          <w:kern w:val="0"/>
          <w:sz w:val="32"/>
          <w:szCs w:val="32"/>
          <w:highlight w:val="none"/>
          <w:lang w:eastAsia="zh-CN"/>
        </w:rPr>
        <w:t>按规定用于公务活动的车辆</w:t>
      </w:r>
      <w:r>
        <w:rPr>
          <w:rFonts w:hint="eastAsia" w:ascii="仿宋_GB2312" w:hAnsi="仿宋_GB2312" w:eastAsia="仿宋_GB2312" w:cs="仿宋_GB2312"/>
          <w:kern w:val="0"/>
          <w:sz w:val="32"/>
          <w:szCs w:val="32"/>
          <w:highlight w:val="none"/>
        </w:rPr>
        <w:t>；单价100万元（含）以上设备（不含车辆）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pPr>
        <w:widowControl/>
        <w:spacing w:line="240" w:lineRule="auto"/>
        <w:jc w:val="left"/>
        <w:rPr>
          <w:rFonts w:ascii="黑体" w:hAnsi="黑体" w:eastAsia="黑体"/>
          <w:sz w:val="36"/>
          <w:szCs w:val="36"/>
          <w:highlight w:val="none"/>
        </w:rPr>
      </w:pPr>
      <w:r>
        <w:rPr>
          <w:rFonts w:ascii="黑体" w:hAnsi="黑体" w:eastAsia="黑体"/>
          <w:sz w:val="36"/>
          <w:szCs w:val="36"/>
          <w:highlight w:val="none"/>
        </w:rPr>
        <w:br w:type="page"/>
      </w:r>
    </w:p>
    <w:p>
      <w:pPr>
        <w:jc w:val="center"/>
        <w:rPr>
          <w:rFonts w:ascii="黑体" w:hAnsi="黑体" w:eastAsia="黑体"/>
          <w:sz w:val="56"/>
          <w:highlight w:val="none"/>
        </w:rPr>
      </w:pPr>
    </w:p>
    <w:p>
      <w:pPr>
        <w:jc w:val="center"/>
        <w:rPr>
          <w:rFonts w:ascii="黑体" w:hAnsi="黑体" w:eastAsia="黑体"/>
          <w:sz w:val="56"/>
          <w:highlight w:val="none"/>
        </w:rPr>
      </w:pPr>
    </w:p>
    <w:p>
      <w:pPr>
        <w:jc w:val="center"/>
        <w:rPr>
          <w:rFonts w:ascii="黑体" w:hAnsi="黑体" w:eastAsia="黑体"/>
          <w:sz w:val="56"/>
          <w:highlight w:val="none"/>
        </w:rPr>
      </w:pPr>
    </w:p>
    <w:p>
      <w:pPr>
        <w:jc w:val="center"/>
        <w:rPr>
          <w:rFonts w:ascii="黑体" w:hAnsi="黑体" w:eastAsia="黑体"/>
          <w:sz w:val="56"/>
          <w:highlight w:val="none"/>
        </w:rPr>
      </w:pPr>
    </w:p>
    <w:p>
      <w:pPr>
        <w:jc w:val="center"/>
        <w:rPr>
          <w:rFonts w:ascii="黑体" w:hAnsi="黑体" w:eastAsia="黑体"/>
          <w:sz w:val="56"/>
          <w:highlight w:val="none"/>
        </w:rPr>
      </w:pPr>
    </w:p>
    <w:p>
      <w:pPr>
        <w:jc w:val="left"/>
        <w:rPr>
          <w:rFonts w:ascii="黑体" w:hAnsi="黑体" w:eastAsia="黑体"/>
          <w:sz w:val="56"/>
          <w:highlight w:val="none"/>
        </w:rPr>
      </w:pPr>
      <w:r>
        <w:rPr>
          <w:rFonts w:hint="eastAsia" w:ascii="黑体" w:hAnsi="黑体" w:eastAsia="黑体"/>
          <w:sz w:val="56"/>
          <w:highlight w:val="none"/>
        </w:rPr>
        <w:t>第四部分</w:t>
      </w:r>
      <w:r>
        <w:rPr>
          <w:rFonts w:ascii="黑体" w:hAnsi="黑体" w:eastAsia="黑体"/>
          <w:sz w:val="56"/>
          <w:highlight w:val="none"/>
        </w:rPr>
        <w:t xml:space="preserve"> </w:t>
      </w:r>
    </w:p>
    <w:p>
      <w:pPr>
        <w:jc w:val="center"/>
        <w:rPr>
          <w:rFonts w:ascii="黑体" w:hAnsi="黑体" w:eastAsia="黑体"/>
          <w:sz w:val="56"/>
          <w:highlight w:val="none"/>
        </w:rPr>
      </w:pPr>
      <w:r>
        <w:rPr>
          <w:rFonts w:hint="eastAsia" w:ascii="黑体" w:hAnsi="黑体" w:eastAsia="黑体"/>
          <w:sz w:val="56"/>
          <w:highlight w:val="none"/>
        </w:rPr>
        <w:t>名词解释</w:t>
      </w:r>
    </w:p>
    <w:p>
      <w:pPr>
        <w:autoSpaceDE w:val="0"/>
        <w:autoSpaceDN w:val="0"/>
        <w:adjustRightInd w:val="0"/>
        <w:spacing w:line="600" w:lineRule="exact"/>
        <w:ind w:firstLine="640" w:firstLineChars="200"/>
        <w:jc w:val="left"/>
        <w:rPr>
          <w:rFonts w:ascii="仿宋" w:hAnsi="仿宋" w:eastAsia="仿宋" w:cs="仿宋_GB2312"/>
          <w:kern w:val="0"/>
          <w:sz w:val="32"/>
          <w:szCs w:val="32"/>
          <w:highlight w:val="none"/>
        </w:rPr>
      </w:pPr>
    </w:p>
    <w:p>
      <w:pPr>
        <w:widowControl/>
        <w:spacing w:line="240" w:lineRule="auto"/>
        <w:jc w:val="left"/>
        <w:rPr>
          <w:rFonts w:ascii="仿宋" w:hAnsi="仿宋" w:eastAsia="仿宋" w:cs="仿宋"/>
          <w:b/>
          <w:color w:val="000000"/>
          <w:kern w:val="0"/>
          <w:sz w:val="32"/>
          <w:szCs w:val="32"/>
          <w:highlight w:val="none"/>
        </w:rPr>
      </w:pPr>
      <w:r>
        <w:rPr>
          <w:rFonts w:ascii="仿宋" w:hAnsi="仿宋" w:eastAsia="仿宋" w:cs="仿宋"/>
          <w:b/>
          <w:color w:val="000000"/>
          <w:kern w:val="0"/>
          <w:sz w:val="32"/>
          <w:szCs w:val="32"/>
          <w:highlight w:val="none"/>
        </w:rPr>
        <w:br w:type="page"/>
      </w:r>
    </w:p>
    <w:p>
      <w:pPr>
        <w:keepNext w:val="0"/>
        <w:keepLines w:val="0"/>
        <w:pageBreakBefore w:val="0"/>
        <w:widowControl w:val="0"/>
        <w:kinsoku/>
        <w:wordWrap/>
        <w:overflowPunct/>
        <w:topLinePunct w:val="0"/>
        <w:bidi w:val="0"/>
        <w:snapToGrid/>
        <w:spacing w:line="600" w:lineRule="exact"/>
        <w:ind w:firstLine="707" w:firstLineChars="221"/>
        <w:textAlignment w:val="auto"/>
        <w:rPr>
          <w:rFonts w:hint="eastAsia" w:ascii="仿宋_GB2312" w:hAnsi="仿宋_GB2312" w:eastAsia="仿宋_GB2312" w:cs="仿宋_GB2312"/>
          <w:color w:val="000000"/>
          <w:kern w:val="0"/>
          <w:sz w:val="32"/>
          <w:szCs w:val="32"/>
          <w:highlight w:val="none"/>
        </w:rPr>
      </w:pPr>
      <w:r>
        <w:rPr>
          <w:rFonts w:hint="eastAsia" w:ascii="黑体" w:hAnsi="黑体" w:eastAsia="黑体" w:cs="黑体"/>
          <w:b w:val="0"/>
          <w:bCs/>
          <w:color w:val="000000"/>
          <w:kern w:val="0"/>
          <w:sz w:val="32"/>
          <w:szCs w:val="32"/>
          <w:highlight w:val="none"/>
        </w:rPr>
        <w:t>一、财政拨款收入：</w:t>
      </w:r>
      <w:r>
        <w:rPr>
          <w:rFonts w:hint="eastAsia" w:ascii="仿宋_GB2312" w:hAnsi="仿宋_GB2312" w:eastAsia="仿宋_GB2312" w:cs="仿宋_GB2312"/>
          <w:color w:val="000000"/>
          <w:kern w:val="0"/>
          <w:sz w:val="32"/>
          <w:szCs w:val="32"/>
          <w:highlight w:val="none"/>
        </w:rPr>
        <w:t>指单位从本级财政部门取得的财政预算资金，包括一般公共预算财政拨款、政府性基金预算财政拨款和国有资本经营预算财政拨款。</w:t>
      </w:r>
    </w:p>
    <w:p>
      <w:pPr>
        <w:keepNext w:val="0"/>
        <w:keepLines w:val="0"/>
        <w:pageBreakBefore w:val="0"/>
        <w:widowControl w:val="0"/>
        <w:kinsoku/>
        <w:wordWrap/>
        <w:overflowPunct/>
        <w:topLinePunct w:val="0"/>
        <w:bidi w:val="0"/>
        <w:snapToGrid/>
        <w:spacing w:line="600" w:lineRule="exact"/>
        <w:ind w:firstLine="707" w:firstLineChars="221"/>
        <w:textAlignment w:val="auto"/>
        <w:rPr>
          <w:rFonts w:hint="eastAsia" w:ascii="仿宋_GB2312" w:hAnsi="仿宋_GB2312" w:eastAsia="仿宋_GB2312" w:cs="仿宋_GB2312"/>
          <w:color w:val="000000"/>
          <w:kern w:val="0"/>
          <w:sz w:val="32"/>
          <w:szCs w:val="32"/>
          <w:highlight w:val="none"/>
        </w:rPr>
      </w:pPr>
      <w:r>
        <w:rPr>
          <w:rFonts w:hint="eastAsia" w:ascii="黑体" w:hAnsi="黑体" w:eastAsia="黑体" w:cs="黑体"/>
          <w:b w:val="0"/>
          <w:bCs/>
          <w:color w:val="000000"/>
          <w:kern w:val="0"/>
          <w:sz w:val="32"/>
          <w:szCs w:val="32"/>
          <w:highlight w:val="none"/>
        </w:rPr>
        <w:t>二、事业收入：</w:t>
      </w:r>
      <w:r>
        <w:rPr>
          <w:rFonts w:hint="eastAsia" w:ascii="仿宋_GB2312" w:hAnsi="仿宋_GB2312" w:eastAsia="仿宋_GB2312" w:cs="仿宋_GB2312"/>
          <w:color w:val="000000"/>
          <w:kern w:val="0"/>
          <w:sz w:val="32"/>
          <w:szCs w:val="32"/>
          <w:highlight w:val="none"/>
        </w:rPr>
        <w:t>指事业单位开展专业业务活动及辅助活动所取得的收入。</w:t>
      </w:r>
    </w:p>
    <w:p>
      <w:pPr>
        <w:keepNext w:val="0"/>
        <w:keepLines w:val="0"/>
        <w:pageBreakBefore w:val="0"/>
        <w:widowControl w:val="0"/>
        <w:kinsoku/>
        <w:wordWrap/>
        <w:overflowPunct/>
        <w:topLinePunct w:val="0"/>
        <w:bidi w:val="0"/>
        <w:snapToGrid/>
        <w:spacing w:line="600" w:lineRule="exact"/>
        <w:ind w:firstLine="707" w:firstLineChars="221"/>
        <w:textAlignment w:val="auto"/>
        <w:rPr>
          <w:rFonts w:hint="eastAsia" w:ascii="仿宋_GB2312" w:hAnsi="仿宋_GB2312" w:eastAsia="仿宋_GB2312" w:cs="仿宋_GB2312"/>
          <w:color w:val="000000"/>
          <w:kern w:val="0"/>
          <w:sz w:val="32"/>
          <w:szCs w:val="32"/>
          <w:highlight w:val="none"/>
        </w:rPr>
      </w:pPr>
      <w:r>
        <w:rPr>
          <w:rFonts w:hint="eastAsia" w:ascii="黑体" w:hAnsi="黑体" w:eastAsia="黑体" w:cs="黑体"/>
          <w:b w:val="0"/>
          <w:bCs/>
          <w:color w:val="000000"/>
          <w:kern w:val="0"/>
          <w:sz w:val="32"/>
          <w:szCs w:val="32"/>
          <w:highlight w:val="none"/>
        </w:rPr>
        <w:t>三、经营收入：</w:t>
      </w:r>
      <w:r>
        <w:rPr>
          <w:rFonts w:hint="eastAsia" w:ascii="仿宋_GB2312" w:hAnsi="仿宋_GB2312" w:eastAsia="仿宋_GB2312" w:cs="仿宋_GB2312"/>
          <w:color w:val="000000"/>
          <w:kern w:val="0"/>
          <w:sz w:val="32"/>
          <w:szCs w:val="32"/>
          <w:highlight w:val="none"/>
        </w:rPr>
        <w:t>指事业单位在专业业务活动及其辅助活动之外开展非独立核算经营活动取得的收入。</w:t>
      </w:r>
    </w:p>
    <w:p>
      <w:pPr>
        <w:keepNext w:val="0"/>
        <w:keepLines w:val="0"/>
        <w:pageBreakBefore w:val="0"/>
        <w:widowControl w:val="0"/>
        <w:kinsoku/>
        <w:wordWrap/>
        <w:overflowPunct/>
        <w:topLinePunct w:val="0"/>
        <w:bidi w:val="0"/>
        <w:snapToGrid/>
        <w:spacing w:line="600" w:lineRule="exact"/>
        <w:ind w:firstLine="707" w:firstLineChars="221"/>
        <w:textAlignment w:val="auto"/>
        <w:rPr>
          <w:rFonts w:hint="eastAsia" w:ascii="仿宋_GB2312" w:hAnsi="仿宋_GB2312" w:eastAsia="仿宋_GB2312" w:cs="仿宋_GB2312"/>
          <w:color w:val="000000"/>
          <w:kern w:val="0"/>
          <w:sz w:val="32"/>
          <w:szCs w:val="32"/>
          <w:highlight w:val="none"/>
        </w:rPr>
      </w:pPr>
      <w:r>
        <w:rPr>
          <w:rFonts w:hint="eastAsia" w:ascii="黑体" w:hAnsi="黑体" w:eastAsia="黑体" w:cs="黑体"/>
          <w:b w:val="0"/>
          <w:bCs/>
          <w:color w:val="000000"/>
          <w:kern w:val="0"/>
          <w:sz w:val="32"/>
          <w:szCs w:val="32"/>
          <w:highlight w:val="none"/>
        </w:rPr>
        <w:t>四、其他收入：</w:t>
      </w:r>
      <w:r>
        <w:rPr>
          <w:rFonts w:hint="eastAsia" w:ascii="仿宋_GB2312" w:hAnsi="仿宋_GB2312" w:eastAsia="仿宋_GB2312" w:cs="仿宋_GB2312"/>
          <w:color w:val="000000"/>
          <w:kern w:val="0"/>
          <w:sz w:val="32"/>
          <w:szCs w:val="32"/>
          <w:highlight w:val="none"/>
        </w:rPr>
        <w:t>指除上述“财政拨款收入”“事业收入”</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 w:val="32"/>
          <w:szCs w:val="32"/>
          <w:highlight w:val="none"/>
        </w:rPr>
        <w:t xml:space="preserve">“上级补助收入”“附属单位上缴收入”“经营收入”等以外取得的各项收入。主要是事业单位固定资产出租收入等。 </w:t>
      </w:r>
    </w:p>
    <w:p>
      <w:pPr>
        <w:keepNext w:val="0"/>
        <w:keepLines w:val="0"/>
        <w:pageBreakBefore w:val="0"/>
        <w:widowControl w:val="0"/>
        <w:kinsoku/>
        <w:wordWrap/>
        <w:overflowPunct/>
        <w:topLinePunct w:val="0"/>
        <w:bidi w:val="0"/>
        <w:snapToGrid/>
        <w:spacing w:line="600" w:lineRule="exact"/>
        <w:ind w:firstLine="707" w:firstLineChars="221"/>
        <w:textAlignment w:val="auto"/>
        <w:rPr>
          <w:rFonts w:hint="eastAsia" w:ascii="仿宋_GB2312" w:hAnsi="仿宋_GB2312" w:eastAsia="仿宋_GB2312" w:cs="仿宋_GB2312"/>
          <w:color w:val="000000"/>
          <w:kern w:val="0"/>
          <w:sz w:val="32"/>
          <w:szCs w:val="32"/>
          <w:highlight w:val="none"/>
        </w:rPr>
      </w:pPr>
      <w:r>
        <w:rPr>
          <w:rFonts w:hint="eastAsia" w:ascii="黑体" w:hAnsi="黑体" w:eastAsia="黑体" w:cs="黑体"/>
          <w:b w:val="0"/>
          <w:bCs/>
          <w:color w:val="000000"/>
          <w:kern w:val="0"/>
          <w:sz w:val="32"/>
          <w:szCs w:val="32"/>
          <w:highlight w:val="none"/>
        </w:rPr>
        <w:t>五、</w:t>
      </w:r>
      <w:r>
        <w:rPr>
          <w:rFonts w:hint="eastAsia" w:ascii="黑体" w:hAnsi="黑体" w:eastAsia="黑体" w:cs="黑体"/>
          <w:b w:val="0"/>
          <w:bCs/>
          <w:color w:val="000000"/>
          <w:kern w:val="0"/>
          <w:sz w:val="32"/>
          <w:szCs w:val="32"/>
          <w:highlight w:val="none"/>
        </w:rPr>
        <w:t>使用非财政拨款结余（含专用结余）：</w:t>
      </w:r>
      <w:r>
        <w:rPr>
          <w:rFonts w:hint="eastAsia" w:ascii="仿宋_GB2312" w:hAnsi="仿宋_GB2312" w:eastAsia="仿宋_GB2312" w:cs="仿宋_GB2312"/>
          <w:color w:val="auto"/>
          <w:kern w:val="0"/>
          <w:sz w:val="32"/>
          <w:szCs w:val="32"/>
          <w:highlight w:val="none"/>
        </w:rPr>
        <w:t>指事业单位</w:t>
      </w:r>
      <w:r>
        <w:rPr>
          <w:rFonts w:hint="eastAsia" w:ascii="仿宋_GB2312" w:hAnsi="仿宋_GB2312" w:eastAsia="仿宋_GB2312" w:cs="仿宋_GB2312"/>
          <w:color w:val="auto"/>
          <w:kern w:val="0"/>
          <w:sz w:val="32"/>
          <w:szCs w:val="32"/>
          <w:highlight w:val="none"/>
          <w:lang w:eastAsia="zh-CN"/>
        </w:rPr>
        <w:t>按照预算管理要求</w:t>
      </w:r>
      <w:r>
        <w:rPr>
          <w:rFonts w:hint="eastAsia" w:ascii="仿宋_GB2312" w:hAnsi="仿宋_GB2312" w:eastAsia="仿宋_GB2312" w:cs="仿宋_GB2312"/>
          <w:color w:val="auto"/>
          <w:kern w:val="0"/>
          <w:sz w:val="32"/>
          <w:szCs w:val="32"/>
          <w:highlight w:val="none"/>
        </w:rPr>
        <w:t>使用非财政拨款结余弥补当年收支差额的金额</w:t>
      </w:r>
      <w:r>
        <w:rPr>
          <w:rFonts w:hint="eastAsia" w:ascii="仿宋_GB2312" w:hAnsi="仿宋_GB2312" w:eastAsia="仿宋_GB2312" w:cs="仿宋_GB2312"/>
          <w:color w:val="auto"/>
          <w:kern w:val="0"/>
          <w:sz w:val="32"/>
          <w:szCs w:val="32"/>
          <w:highlight w:val="none"/>
          <w:lang w:eastAsia="zh-CN"/>
        </w:rPr>
        <w:t>，以及使用专用结余安排支出的金额</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000000"/>
          <w:kern w:val="0"/>
          <w:sz w:val="32"/>
          <w:szCs w:val="32"/>
          <w:highlight w:val="none"/>
        </w:rPr>
        <w:t xml:space="preserve"> </w:t>
      </w:r>
    </w:p>
    <w:p>
      <w:pPr>
        <w:keepNext w:val="0"/>
        <w:keepLines w:val="0"/>
        <w:pageBreakBefore w:val="0"/>
        <w:widowControl w:val="0"/>
        <w:kinsoku/>
        <w:wordWrap/>
        <w:overflowPunct/>
        <w:topLinePunct w:val="0"/>
        <w:bidi w:val="0"/>
        <w:snapToGrid/>
        <w:spacing w:line="600" w:lineRule="exact"/>
        <w:ind w:firstLine="707" w:firstLineChars="221"/>
        <w:textAlignment w:val="auto"/>
        <w:rPr>
          <w:rFonts w:hint="eastAsia" w:ascii="仿宋_GB2312" w:hAnsi="仿宋_GB2312" w:eastAsia="仿宋_GB2312" w:cs="仿宋_GB2312"/>
          <w:color w:val="000000"/>
          <w:kern w:val="0"/>
          <w:sz w:val="32"/>
          <w:szCs w:val="32"/>
          <w:highlight w:val="none"/>
        </w:rPr>
      </w:pPr>
      <w:r>
        <w:rPr>
          <w:rFonts w:hint="eastAsia" w:ascii="黑体" w:hAnsi="黑体" w:eastAsia="黑体" w:cs="黑体"/>
          <w:b w:val="0"/>
          <w:bCs/>
          <w:color w:val="000000"/>
          <w:kern w:val="0"/>
          <w:sz w:val="32"/>
          <w:szCs w:val="32"/>
          <w:highlight w:val="none"/>
        </w:rPr>
        <w:t>六、年初结转和结余：</w:t>
      </w:r>
      <w:r>
        <w:rPr>
          <w:rFonts w:hint="eastAsia" w:ascii="仿宋_GB2312" w:hAnsi="仿宋_GB2312" w:eastAsia="仿宋_GB2312" w:cs="仿宋_GB2312"/>
          <w:color w:val="000000"/>
          <w:kern w:val="0"/>
          <w:sz w:val="32"/>
          <w:szCs w:val="32"/>
          <w:highlight w:val="none"/>
        </w:rPr>
        <w:t>指单位以前年度尚未完成、结转到本年仍按原规定用途继续使用的资金，或项目已完成等产生的结余资金。</w:t>
      </w:r>
    </w:p>
    <w:p>
      <w:pPr>
        <w:pStyle w:val="16"/>
        <w:keepNext w:val="0"/>
        <w:keepLines w:val="0"/>
        <w:pageBreakBefore w:val="0"/>
        <w:widowControl w:val="0"/>
        <w:kinsoku/>
        <w:wordWrap/>
        <w:overflowPunct/>
        <w:topLinePunct w:val="0"/>
        <w:bidi w:val="0"/>
        <w:snapToGrid/>
        <w:spacing w:line="600" w:lineRule="exact"/>
        <w:ind w:firstLine="640"/>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sz w:val="32"/>
          <w:szCs w:val="32"/>
          <w:highlight w:val="none"/>
        </w:rPr>
        <w:t>七、结余分配：</w:t>
      </w:r>
      <w:r>
        <w:rPr>
          <w:rFonts w:hint="eastAsia" w:ascii="仿宋_GB2312" w:hAnsi="仿宋_GB2312" w:eastAsia="仿宋_GB2312" w:cs="仿宋_GB2312"/>
          <w:sz w:val="32"/>
          <w:szCs w:val="32"/>
          <w:highlight w:val="none"/>
        </w:rPr>
        <w:t xml:space="preserve">指事业单位按照会计制度规定缴纳的所得税、提取的专用结余以及转入非财政拨款结余的金额等。 </w:t>
      </w:r>
    </w:p>
    <w:p>
      <w:pPr>
        <w:pStyle w:val="16"/>
        <w:keepNext w:val="0"/>
        <w:keepLines w:val="0"/>
        <w:pageBreakBefore w:val="0"/>
        <w:widowControl w:val="0"/>
        <w:kinsoku/>
        <w:wordWrap/>
        <w:overflowPunct/>
        <w:topLinePunct w:val="0"/>
        <w:bidi w:val="0"/>
        <w:snapToGrid/>
        <w:spacing w:line="600" w:lineRule="exact"/>
        <w:ind w:firstLine="640"/>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sz w:val="32"/>
          <w:szCs w:val="32"/>
          <w:highlight w:val="none"/>
        </w:rPr>
        <w:t>八、年末结转和结余：</w:t>
      </w:r>
      <w:r>
        <w:rPr>
          <w:rFonts w:hint="eastAsia" w:ascii="仿宋_GB2312" w:hAnsi="仿宋_GB2312" w:eastAsia="仿宋_GB2312" w:cs="仿宋_GB2312"/>
          <w:sz w:val="32"/>
          <w:szCs w:val="32"/>
          <w:highlight w:val="none"/>
        </w:rPr>
        <w:t xml:space="preserve">指单位按有关规定结转到下年或以后年度继续使用的资金，或项目已完成等产生的结余资金。 </w:t>
      </w:r>
    </w:p>
    <w:p>
      <w:pPr>
        <w:pStyle w:val="16"/>
        <w:keepNext w:val="0"/>
        <w:keepLines w:val="0"/>
        <w:pageBreakBefore w:val="0"/>
        <w:widowControl w:val="0"/>
        <w:kinsoku/>
        <w:wordWrap/>
        <w:overflowPunct/>
        <w:topLinePunct w:val="0"/>
        <w:bidi w:val="0"/>
        <w:snapToGrid/>
        <w:spacing w:line="600" w:lineRule="exact"/>
        <w:ind w:firstLine="640"/>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sz w:val="32"/>
          <w:szCs w:val="32"/>
          <w:highlight w:val="none"/>
        </w:rPr>
        <w:t>九、基本支出：</w:t>
      </w:r>
      <w:r>
        <w:rPr>
          <w:rFonts w:hint="eastAsia" w:ascii="仿宋_GB2312" w:hAnsi="仿宋_GB2312" w:eastAsia="仿宋_GB2312" w:cs="仿宋_GB2312"/>
          <w:sz w:val="32"/>
          <w:szCs w:val="32"/>
          <w:highlight w:val="none"/>
        </w:rPr>
        <w:t xml:space="preserve">指为保障机构正常运转、完成日常工作任务而发生的人员支出和公用支出。 </w:t>
      </w:r>
    </w:p>
    <w:p>
      <w:pPr>
        <w:pStyle w:val="16"/>
        <w:keepNext w:val="0"/>
        <w:keepLines w:val="0"/>
        <w:pageBreakBefore w:val="0"/>
        <w:widowControl w:val="0"/>
        <w:kinsoku/>
        <w:wordWrap/>
        <w:overflowPunct/>
        <w:topLinePunct w:val="0"/>
        <w:bidi w:val="0"/>
        <w:snapToGrid/>
        <w:spacing w:line="600" w:lineRule="exact"/>
        <w:ind w:firstLine="640"/>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sz w:val="32"/>
          <w:szCs w:val="32"/>
          <w:highlight w:val="none"/>
        </w:rPr>
        <w:t>十、项目支出：</w:t>
      </w:r>
      <w:r>
        <w:rPr>
          <w:rFonts w:hint="eastAsia" w:ascii="仿宋_GB2312" w:hAnsi="仿宋_GB2312" w:eastAsia="仿宋_GB2312" w:cs="仿宋_GB2312"/>
          <w:sz w:val="32"/>
          <w:szCs w:val="32"/>
          <w:highlight w:val="none"/>
        </w:rPr>
        <w:t>指在基本支出之外为完成特定行政任务和事业发展目标所发生的支出。</w:t>
      </w:r>
    </w:p>
    <w:p>
      <w:pPr>
        <w:pStyle w:val="16"/>
        <w:keepNext w:val="0"/>
        <w:keepLines w:val="0"/>
        <w:pageBreakBefore w:val="0"/>
        <w:widowControl w:val="0"/>
        <w:kinsoku/>
        <w:wordWrap/>
        <w:overflowPunct/>
        <w:topLinePunct w:val="0"/>
        <w:bidi w:val="0"/>
        <w:snapToGrid/>
        <w:spacing w:line="600" w:lineRule="exact"/>
        <w:ind w:firstLine="640"/>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sz w:val="32"/>
          <w:szCs w:val="32"/>
          <w:highlight w:val="none"/>
        </w:rPr>
        <w:t>十一、经营支出：</w:t>
      </w:r>
      <w:r>
        <w:rPr>
          <w:rFonts w:hint="eastAsia" w:ascii="仿宋_GB2312" w:hAnsi="仿宋_GB2312" w:eastAsia="仿宋_GB2312" w:cs="仿宋_GB2312"/>
          <w:sz w:val="32"/>
          <w:szCs w:val="32"/>
          <w:highlight w:val="none"/>
        </w:rPr>
        <w:t>指事业单位在专业业务活动及其辅助活动之外开展非独立核算经营活动发生的支出。</w:t>
      </w:r>
    </w:p>
    <w:p>
      <w:pPr>
        <w:pStyle w:val="16"/>
        <w:keepNext w:val="0"/>
        <w:keepLines w:val="0"/>
        <w:pageBreakBefore w:val="0"/>
        <w:widowControl w:val="0"/>
        <w:kinsoku/>
        <w:wordWrap/>
        <w:overflowPunct/>
        <w:topLinePunct w:val="0"/>
        <w:bidi w:val="0"/>
        <w:snapToGrid/>
        <w:spacing w:line="600" w:lineRule="exact"/>
        <w:ind w:firstLine="640"/>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sz w:val="32"/>
          <w:szCs w:val="32"/>
          <w:highlight w:val="none"/>
        </w:rPr>
        <w:t>十二、“三公”经费：</w:t>
      </w:r>
      <w:r>
        <w:rPr>
          <w:rFonts w:hint="eastAsia" w:ascii="仿宋_GB2312" w:hAnsi="仿宋_GB2312" w:eastAsia="仿宋_GB2312" w:cs="仿宋_GB2312"/>
          <w:color w:val="auto"/>
          <w:sz w:val="32"/>
          <w:szCs w:val="32"/>
          <w:highlight w:val="none"/>
        </w:rPr>
        <w:t>纳入本级财政预决算管理的“三公”经费，是指本级</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用一般公共预算财政拨款安排的因公出国（境）费</w:t>
      </w:r>
      <w:r>
        <w:rPr>
          <w:rFonts w:hint="eastAsia" w:ascii="仿宋_GB2312" w:hAnsi="仿宋_GB2312" w:eastAsia="仿宋_GB2312" w:cs="仿宋_GB2312"/>
          <w:color w:val="auto"/>
          <w:sz w:val="32"/>
          <w:szCs w:val="32"/>
          <w:highlight w:val="none"/>
          <w:lang w:eastAsia="zh-CN"/>
        </w:rPr>
        <w:t>用</w:t>
      </w:r>
      <w:r>
        <w:rPr>
          <w:rFonts w:hint="eastAsia" w:ascii="仿宋_GB2312" w:hAnsi="仿宋_GB2312" w:eastAsia="仿宋_GB2312" w:cs="仿宋_GB2312"/>
          <w:color w:val="auto"/>
          <w:sz w:val="32"/>
          <w:szCs w:val="32"/>
          <w:highlight w:val="none"/>
        </w:rPr>
        <w:t>、公务用车购置及运行费和公务接待费。其中，因公出国（境）费</w:t>
      </w:r>
      <w:r>
        <w:rPr>
          <w:rFonts w:hint="eastAsia" w:ascii="仿宋_GB2312" w:hAnsi="仿宋_GB2312" w:eastAsia="仿宋_GB2312" w:cs="仿宋_GB2312"/>
          <w:color w:val="auto"/>
          <w:sz w:val="32"/>
          <w:szCs w:val="32"/>
          <w:highlight w:val="none"/>
          <w:lang w:eastAsia="zh-CN"/>
        </w:rPr>
        <w:t>用</w:t>
      </w:r>
      <w:r>
        <w:rPr>
          <w:rFonts w:hint="eastAsia" w:ascii="仿宋_GB2312" w:hAnsi="仿宋_GB2312" w:eastAsia="仿宋_GB2312" w:cs="仿宋_GB2312"/>
          <w:color w:val="auto"/>
          <w:sz w:val="32"/>
          <w:szCs w:val="32"/>
          <w:highlight w:val="none"/>
        </w:rPr>
        <w:t>反映单位公务出国（境）的国际旅费、国外城市间交通费、住宿费、伙食费、培训费、公杂费等支出；公务用车购置及运行费反映单位公务用车车辆购置支出（含车辆购置税</w:t>
      </w:r>
      <w:r>
        <w:rPr>
          <w:rFonts w:hint="eastAsia" w:ascii="仿宋_GB2312" w:hAnsi="仿宋_GB2312" w:eastAsia="仿宋_GB2312" w:cs="仿宋_GB2312"/>
          <w:color w:val="auto"/>
          <w:sz w:val="32"/>
          <w:szCs w:val="32"/>
          <w:highlight w:val="none"/>
          <w:lang w:eastAsia="zh-CN"/>
        </w:rPr>
        <w:t>、牌照费</w:t>
      </w:r>
      <w:r>
        <w:rPr>
          <w:rFonts w:hint="eastAsia" w:ascii="仿宋_GB2312" w:hAnsi="仿宋_GB2312" w:eastAsia="仿宋_GB2312" w:cs="仿宋_GB2312"/>
          <w:color w:val="auto"/>
          <w:sz w:val="32"/>
          <w:szCs w:val="32"/>
          <w:highlight w:val="none"/>
        </w:rPr>
        <w:t>）及</w:t>
      </w:r>
      <w:r>
        <w:rPr>
          <w:rFonts w:hint="eastAsia" w:ascii="仿宋_GB2312" w:hAnsi="仿宋_GB2312" w:eastAsia="仿宋_GB2312" w:cs="仿宋_GB2312"/>
          <w:color w:val="auto"/>
          <w:sz w:val="32"/>
          <w:szCs w:val="32"/>
          <w:highlight w:val="none"/>
          <w:lang w:eastAsia="zh-CN"/>
        </w:rPr>
        <w:t>按规定保留的公务用车</w:t>
      </w:r>
      <w:r>
        <w:rPr>
          <w:rFonts w:hint="eastAsia" w:ascii="仿宋_GB2312" w:hAnsi="仿宋_GB2312" w:eastAsia="仿宋_GB2312" w:cs="仿宋_GB2312"/>
          <w:color w:val="auto"/>
          <w:sz w:val="32"/>
          <w:szCs w:val="32"/>
          <w:highlight w:val="none"/>
        </w:rPr>
        <w:t>燃料费、</w:t>
      </w:r>
      <w:r>
        <w:rPr>
          <w:rFonts w:hint="eastAsia" w:ascii="仿宋_GB2312" w:hAnsi="仿宋_GB2312" w:eastAsia="仿宋_GB2312" w:cs="仿宋_GB2312"/>
          <w:color w:val="auto"/>
          <w:sz w:val="32"/>
          <w:szCs w:val="32"/>
          <w:highlight w:val="none"/>
          <w:lang w:eastAsia="zh-CN"/>
        </w:rPr>
        <w:t>新能源汽车充电费、</w:t>
      </w:r>
      <w:r>
        <w:rPr>
          <w:rFonts w:hint="eastAsia" w:ascii="仿宋_GB2312" w:hAnsi="仿宋_GB2312" w:eastAsia="仿宋_GB2312" w:cs="仿宋_GB2312"/>
          <w:color w:val="auto"/>
          <w:sz w:val="32"/>
          <w:szCs w:val="32"/>
          <w:highlight w:val="none"/>
        </w:rPr>
        <w:t>维修费、过桥过路费、保险费、安全奖励费用等支出；公务接待费反映单位按规定开支的各类公务接待（含外宾接待）支出。</w:t>
      </w:r>
    </w:p>
    <w:p>
      <w:pPr>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color w:val="000000"/>
          <w:kern w:val="0"/>
          <w:sz w:val="32"/>
          <w:szCs w:val="32"/>
          <w:highlight w:val="none"/>
        </w:rPr>
        <w:t>十三、机关运行经费：</w:t>
      </w:r>
      <w:r>
        <w:rPr>
          <w:rFonts w:hint="eastAsia" w:ascii="仿宋_GB2312" w:hAnsi="仿宋_GB2312" w:eastAsia="仿宋_GB2312" w:cs="仿宋_GB2312"/>
          <w:color w:val="auto"/>
          <w:kern w:val="0"/>
          <w:sz w:val="32"/>
          <w:szCs w:val="32"/>
          <w:highlight w:val="none"/>
          <w:lang w:eastAsia="zh-CN"/>
        </w:rPr>
        <w:t>反映</w:t>
      </w:r>
      <w:r>
        <w:rPr>
          <w:rFonts w:hint="eastAsia" w:ascii="仿宋_GB2312" w:hAnsi="仿宋_GB2312" w:eastAsia="仿宋_GB2312" w:cs="仿宋_GB2312"/>
          <w:color w:val="auto"/>
          <w:kern w:val="0"/>
          <w:sz w:val="32"/>
          <w:szCs w:val="32"/>
          <w:highlight w:val="none"/>
        </w:rPr>
        <w:t>行政单位（含参照公务员法管理的事业单位）</w:t>
      </w:r>
      <w:r>
        <w:rPr>
          <w:rFonts w:hint="eastAsia" w:ascii="仿宋_GB2312" w:hAnsi="仿宋_GB2312" w:eastAsia="仿宋_GB2312" w:cs="仿宋_GB2312"/>
          <w:color w:val="auto"/>
          <w:kern w:val="0"/>
          <w:sz w:val="32"/>
          <w:szCs w:val="32"/>
          <w:highlight w:val="none"/>
          <w:lang w:eastAsia="zh-CN"/>
        </w:rPr>
        <w:t>财政拨款基本支出中的公用经费支出</w:t>
      </w:r>
      <w:r>
        <w:rPr>
          <w:rFonts w:hint="eastAsia" w:ascii="仿宋_GB2312" w:hAnsi="仿宋_GB2312" w:eastAsia="仿宋_GB2312" w:cs="仿宋_GB2312"/>
          <w:color w:val="auto"/>
          <w:kern w:val="0"/>
          <w:sz w:val="32"/>
          <w:szCs w:val="32"/>
          <w:highlight w:val="none"/>
        </w:rPr>
        <w:t>，包括办公及印刷费、邮电费、差旅费、会议</w:t>
      </w:r>
      <w:r>
        <w:rPr>
          <w:rFonts w:hint="eastAsia" w:ascii="仿宋_GB2312" w:hAnsi="仿宋_GB2312" w:eastAsia="仿宋_GB2312" w:cs="仿宋_GB2312"/>
          <w:color w:val="auto"/>
          <w:sz w:val="32"/>
          <w:szCs w:val="32"/>
          <w:highlight w:val="none"/>
        </w:rPr>
        <w:t>费、福利费、日常维修费、专用材料及一般设备购置费、办公用房水电费、办公用房取暖费、办公用房物业管理费、公务用车运行维护费以及其他费用。</w:t>
      </w:r>
    </w:p>
    <w:p>
      <w:pPr>
        <w:ind w:firstLine="640" w:firstLineChars="200"/>
        <w:jc w:val="left"/>
        <w:rPr>
          <w:rFonts w:ascii="仿宋" w:hAnsi="仿宋" w:eastAsia="仿宋"/>
          <w:sz w:val="32"/>
          <w:szCs w:val="32"/>
          <w:highlight w:val="none"/>
        </w:rPr>
      </w:pPr>
    </w:p>
    <w:p>
      <w:pPr>
        <w:widowControl/>
        <w:spacing w:line="240" w:lineRule="auto"/>
        <w:jc w:val="left"/>
        <w:rPr>
          <w:rFonts w:ascii="黑体" w:hAnsi="黑体" w:eastAsia="黑体"/>
          <w:sz w:val="36"/>
          <w:szCs w:val="36"/>
          <w:highlight w:val="none"/>
        </w:rPr>
      </w:pPr>
      <w:r>
        <w:rPr>
          <w:rFonts w:ascii="黑体" w:hAnsi="黑体" w:eastAsia="黑体"/>
          <w:sz w:val="36"/>
          <w:szCs w:val="36"/>
          <w:highlight w:val="none"/>
        </w:rPr>
        <w:br w:type="page"/>
      </w:r>
    </w:p>
    <w:p>
      <w:pPr>
        <w:jc w:val="center"/>
        <w:rPr>
          <w:rFonts w:ascii="黑体" w:hAnsi="黑体" w:eastAsia="黑体"/>
          <w:sz w:val="56"/>
          <w:highlight w:val="none"/>
        </w:rPr>
      </w:pPr>
    </w:p>
    <w:p>
      <w:pPr>
        <w:jc w:val="center"/>
        <w:rPr>
          <w:rFonts w:ascii="黑体" w:hAnsi="黑体" w:eastAsia="黑体"/>
          <w:sz w:val="56"/>
          <w:highlight w:val="none"/>
        </w:rPr>
      </w:pPr>
    </w:p>
    <w:p>
      <w:pPr>
        <w:jc w:val="center"/>
        <w:rPr>
          <w:rFonts w:ascii="黑体" w:hAnsi="黑体" w:eastAsia="黑体"/>
          <w:sz w:val="56"/>
          <w:highlight w:val="none"/>
        </w:rPr>
      </w:pPr>
    </w:p>
    <w:p>
      <w:pPr>
        <w:jc w:val="center"/>
        <w:rPr>
          <w:rFonts w:ascii="黑体" w:hAnsi="黑体" w:eastAsia="黑体"/>
          <w:sz w:val="56"/>
          <w:highlight w:val="none"/>
        </w:rPr>
      </w:pPr>
    </w:p>
    <w:p>
      <w:pPr>
        <w:jc w:val="center"/>
        <w:rPr>
          <w:rFonts w:ascii="黑体" w:hAnsi="黑体" w:eastAsia="黑体"/>
          <w:sz w:val="56"/>
          <w:highlight w:val="none"/>
        </w:rPr>
      </w:pPr>
    </w:p>
    <w:p>
      <w:pPr>
        <w:jc w:val="left"/>
        <w:rPr>
          <w:rFonts w:ascii="黑体" w:hAnsi="黑体" w:eastAsia="黑体"/>
          <w:sz w:val="56"/>
          <w:highlight w:val="none"/>
        </w:rPr>
      </w:pPr>
      <w:r>
        <w:rPr>
          <w:rFonts w:hint="eastAsia" w:ascii="黑体" w:hAnsi="黑体" w:eastAsia="黑体"/>
          <w:sz w:val="56"/>
          <w:highlight w:val="none"/>
        </w:rPr>
        <w:t>第五部分</w:t>
      </w:r>
      <w:r>
        <w:rPr>
          <w:rFonts w:ascii="黑体" w:hAnsi="黑体" w:eastAsia="黑体"/>
          <w:sz w:val="56"/>
          <w:highlight w:val="none"/>
        </w:rPr>
        <w:t xml:space="preserve"> </w:t>
      </w:r>
    </w:p>
    <w:p>
      <w:pPr>
        <w:jc w:val="center"/>
        <w:rPr>
          <w:rFonts w:ascii="黑体" w:hAnsi="黑体" w:eastAsia="黑体"/>
          <w:sz w:val="56"/>
          <w:highlight w:val="none"/>
        </w:rPr>
      </w:pPr>
      <w:r>
        <w:rPr>
          <w:rFonts w:hint="eastAsia" w:ascii="黑体" w:hAnsi="黑体" w:eastAsia="黑体"/>
          <w:sz w:val="56"/>
          <w:highlight w:val="none"/>
        </w:rPr>
        <w:t>附件</w:t>
      </w:r>
    </w:p>
    <w:p>
      <w:pPr>
        <w:widowControl/>
        <w:spacing w:line="240" w:lineRule="auto"/>
        <w:jc w:val="left"/>
        <w:rPr>
          <w:rFonts w:ascii="黑体" w:hAnsi="黑体" w:eastAsia="黑体"/>
          <w:sz w:val="32"/>
          <w:szCs w:val="32"/>
          <w:highlight w:val="none"/>
        </w:rPr>
        <w:sectPr>
          <w:pgSz w:w="11906" w:h="16838"/>
          <w:pgMar w:top="1701" w:right="1531" w:bottom="1701" w:left="1531" w:header="851" w:footer="992" w:gutter="0"/>
          <w:pgBorders>
            <w:top w:val="none" w:sz="0" w:space="0"/>
            <w:left w:val="none" w:sz="0" w:space="0"/>
            <w:bottom w:val="none" w:sz="0" w:space="0"/>
            <w:right w:val="none" w:sz="0" w:space="0"/>
          </w:pgBorders>
          <w:cols w:space="0" w:num="1"/>
          <w:rtlGutter w:val="0"/>
          <w:docGrid w:type="lines" w:linePitch="312" w:charSpace="0"/>
        </w:sectPr>
      </w:pPr>
    </w:p>
    <w:p>
      <w:pPr>
        <w:tabs>
          <w:tab w:val="left" w:pos="7513"/>
        </w:tabs>
        <w:adjustRightInd w:val="0"/>
        <w:snapToGrid w:val="0"/>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一、项目支出绩效自评表</w:t>
      </w:r>
    </w:p>
    <w:p>
      <w:pPr>
        <w:tabs>
          <w:tab w:val="left" w:pos="7513"/>
        </w:tabs>
        <w:adjustRightInd w:val="0"/>
        <w:snapToGrid w:val="0"/>
        <w:spacing w:line="600" w:lineRule="exact"/>
        <w:ind w:firstLine="640" w:firstLineChars="200"/>
        <w:rPr>
          <w:rFonts w:hint="eastAsia" w:ascii="黑体" w:hAnsi="黑体" w:eastAsia="黑体"/>
          <w:sz w:val="32"/>
          <w:szCs w:val="32"/>
          <w:highlight w:val="none"/>
        </w:rPr>
      </w:pPr>
    </w:p>
    <w:p>
      <w:pPr>
        <w:pStyle w:val="20"/>
        <w:widowControl/>
        <w:spacing w:before="240" w:after="240"/>
        <w:jc w:val="center"/>
        <w:rPr>
          <w:rFonts w:ascii="Times New Roman" w:hAnsi="Times New Roman" w:eastAsia="Times New Roman" w:cs="Times New Roman"/>
          <w:kern w:val="0"/>
          <w:sz w:val="36"/>
          <w:szCs w:val="36"/>
        </w:rPr>
      </w:pPr>
      <w:r>
        <w:rPr>
          <w:rFonts w:hint="eastAsia" w:ascii="宋体" w:hAnsi="宋体" w:cs="宋体"/>
          <w:b/>
          <w:bCs/>
          <w:kern w:val="0"/>
          <w:sz w:val="36"/>
          <w:szCs w:val="36"/>
        </w:rPr>
        <w:t>自然资源管理工作经费</w:t>
      </w:r>
      <w:r>
        <w:rPr>
          <w:rFonts w:ascii="宋体" w:hAnsi="宋体" w:cs="宋体"/>
          <w:b/>
          <w:bCs/>
          <w:kern w:val="0"/>
          <w:sz w:val="36"/>
          <w:szCs w:val="36"/>
        </w:rPr>
        <w:t>绩效自评表</w:t>
      </w:r>
    </w:p>
    <w:p>
      <w:pPr>
        <w:pStyle w:val="20"/>
        <w:widowControl/>
        <w:spacing w:before="240" w:after="240"/>
        <w:jc w:val="center"/>
        <w:rPr>
          <w:rFonts w:ascii="宋体" w:hAnsi="宋体" w:cs="宋体"/>
          <w:kern w:val="0"/>
          <w:sz w:val="22"/>
          <w:szCs w:val="22"/>
        </w:rPr>
      </w:pPr>
      <w:r>
        <w:rPr>
          <w:rFonts w:ascii="宋体" w:hAnsi="宋体" w:cs="宋体"/>
          <w:kern w:val="0"/>
          <w:sz w:val="22"/>
          <w:szCs w:val="22"/>
        </w:rPr>
        <w:t>（</w:t>
      </w:r>
      <w:r>
        <w:rPr>
          <w:rFonts w:ascii="宋体" w:hAnsi="宋体" w:cs="宋体"/>
          <w:kern w:val="0"/>
          <w:sz w:val="24"/>
          <w:szCs w:val="24"/>
        </w:rPr>
        <w:t>202</w:t>
      </w:r>
      <w:r>
        <w:rPr>
          <w:rFonts w:hint="eastAsia" w:ascii="宋体" w:hAnsi="宋体" w:cs="宋体"/>
          <w:kern w:val="0"/>
          <w:sz w:val="24"/>
          <w:szCs w:val="24"/>
          <w:lang w:val="en-US" w:eastAsia="zh-CN"/>
        </w:rPr>
        <w:t>5</w:t>
      </w:r>
      <w:r>
        <w:rPr>
          <w:rFonts w:ascii="宋体" w:hAnsi="宋体" w:cs="宋体"/>
          <w:kern w:val="0"/>
          <w:sz w:val="24"/>
          <w:szCs w:val="24"/>
        </w:rPr>
        <w:t>年度</w:t>
      </w:r>
      <w:r>
        <w:rPr>
          <w:rFonts w:ascii="宋体" w:hAnsi="宋体" w:cs="宋体"/>
          <w:kern w:val="0"/>
          <w:sz w:val="22"/>
          <w:szCs w:val="22"/>
        </w:rPr>
        <w:t>）</w:t>
      </w:r>
    </w:p>
    <w:tbl>
      <w:tblPr>
        <w:tblStyle w:val="9"/>
        <w:tblW w:w="1365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4"/>
        <w:gridCol w:w="1420"/>
        <w:gridCol w:w="2313"/>
        <w:gridCol w:w="1709"/>
        <w:gridCol w:w="1518"/>
        <w:gridCol w:w="1505"/>
        <w:gridCol w:w="1121"/>
        <w:gridCol w:w="758"/>
        <w:gridCol w:w="782"/>
        <w:gridCol w:w="1"/>
        <w:gridCol w:w="1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4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项目名称</w:t>
            </w:r>
          </w:p>
        </w:tc>
        <w:tc>
          <w:tcPr>
            <w:tcW w:w="913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自然资源管理工作经费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主管部门</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福建省自然资源厅</w:t>
            </w:r>
          </w:p>
        </w:tc>
        <w:tc>
          <w:tcPr>
            <w:tcW w:w="26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实施单位</w:t>
            </w:r>
          </w:p>
        </w:tc>
        <w:tc>
          <w:tcPr>
            <w:tcW w:w="32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福建省自然资源厅（本级）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项目资金(万元)</w:t>
            </w:r>
          </w:p>
        </w:tc>
        <w:tc>
          <w:tcPr>
            <w:tcW w:w="3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年初预算数</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全年预算数</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全年执行数</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分值</w:t>
            </w:r>
          </w:p>
        </w:tc>
        <w:tc>
          <w:tcPr>
            <w:tcW w:w="15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执行率</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3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年度资金总额</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1192.47 </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1107.71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604.47 </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15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0.55 </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3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其中：当年财政拨款</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1192.47 </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lang w:val="en-US"/>
              </w:rPr>
            </w:pPr>
            <w:r>
              <w:rPr>
                <w:rFonts w:hint="eastAsia" w:ascii="CESI仿宋-GB2312" w:hAnsi="CESI仿宋-GB2312" w:eastAsia="CESI仿宋-GB2312" w:cs="CESI仿宋-GB2312"/>
                <w:i w:val="0"/>
                <w:iCs w:val="0"/>
                <w:color w:val="000000"/>
                <w:kern w:val="0"/>
                <w:sz w:val="24"/>
                <w:szCs w:val="24"/>
                <w:u w:val="none"/>
                <w:lang w:val="en-US" w:eastAsia="zh-CN" w:bidi="ar"/>
              </w:rPr>
              <w:t>1107.71</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604.47 </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w:t>
            </w:r>
          </w:p>
        </w:tc>
        <w:tc>
          <w:tcPr>
            <w:tcW w:w="15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0.55</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3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其他资金</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0.00</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0.00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0.00</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w:t>
            </w:r>
          </w:p>
        </w:tc>
        <w:tc>
          <w:tcPr>
            <w:tcW w:w="15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0.00</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7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年度总体目标</w:t>
            </w:r>
          </w:p>
        </w:tc>
        <w:tc>
          <w:tcPr>
            <w:tcW w:w="69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预期目标</w:t>
            </w:r>
          </w:p>
        </w:tc>
        <w:tc>
          <w:tcPr>
            <w:tcW w:w="59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696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保障厅机关日常有序运转</w:t>
            </w:r>
          </w:p>
        </w:tc>
        <w:tc>
          <w:tcPr>
            <w:tcW w:w="5908"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有效保障厅机关日常有序运转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绩效</w:t>
            </w:r>
            <w:r>
              <w:rPr>
                <w:rFonts w:hint="eastAsia" w:ascii="CESI仿宋-GB2312" w:hAnsi="CESI仿宋-GB2312" w:eastAsia="CESI仿宋-GB2312" w:cs="CESI仿宋-GB2312"/>
                <w:i w:val="0"/>
                <w:iCs w:val="0"/>
                <w:color w:val="000000"/>
                <w:kern w:val="0"/>
                <w:sz w:val="24"/>
                <w:szCs w:val="24"/>
                <w:u w:val="none"/>
                <w:lang w:val="en-US" w:eastAsia="zh-CN" w:bidi="ar"/>
              </w:rPr>
              <w:br w:type="textWrapping"/>
            </w:r>
            <w:r>
              <w:rPr>
                <w:rFonts w:hint="eastAsia" w:ascii="CESI仿宋-GB2312" w:hAnsi="CESI仿宋-GB2312" w:eastAsia="CESI仿宋-GB2312" w:cs="CESI仿宋-GB2312"/>
                <w:i w:val="0"/>
                <w:iCs w:val="0"/>
                <w:color w:val="000000"/>
                <w:kern w:val="0"/>
                <w:sz w:val="24"/>
                <w:szCs w:val="24"/>
                <w:u w:val="none"/>
                <w:lang w:val="en-US" w:eastAsia="zh-CN" w:bidi="ar"/>
              </w:rPr>
              <w:t>指标</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一级指标</w:t>
            </w: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二级指标</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三级指标</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年度指标值</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实际完成值</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指标分值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自评得分</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7"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成本指标</w:t>
            </w: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经济成本指标</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年度资金总额不超过预算控制数</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≤1192.47万元</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lang w:val="en-US"/>
              </w:rPr>
            </w:pPr>
            <w:r>
              <w:rPr>
                <w:rFonts w:hint="eastAsia" w:ascii="CESI仿宋-GB2312" w:hAnsi="CESI仿宋-GB2312" w:eastAsia="CESI仿宋-GB2312" w:cs="CESI仿宋-GB2312"/>
                <w:i w:val="0"/>
                <w:iCs w:val="0"/>
                <w:color w:val="000000"/>
                <w:kern w:val="0"/>
                <w:sz w:val="24"/>
                <w:szCs w:val="24"/>
                <w:u w:val="none"/>
                <w:lang w:val="en-US" w:eastAsia="zh-CN" w:bidi="ar"/>
              </w:rPr>
              <w:t>604.47</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效益指标</w:t>
            </w: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社会效益指标</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提高公共服务效率</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≥5%</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5%</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30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30</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满意度指标</w:t>
            </w: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服务对象满意度指标</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厅机关干部满意度</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≥80%</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产出指标</w:t>
            </w: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数量指标</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开展培训次数</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≥2次</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16</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20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20</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2"/>
                <w:szCs w:val="22"/>
                <w:u w:val="none"/>
              </w:rPr>
            </w:pP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质量指标</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机关运转良好率</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≥80%</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2"/>
                <w:szCs w:val="22"/>
                <w:u w:val="none"/>
              </w:rPr>
            </w:pP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时效指标</w:t>
            </w:r>
          </w:p>
        </w:tc>
        <w:tc>
          <w:tcPr>
            <w:tcW w:w="3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培训工作开展及时性</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≤1年</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1年</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20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20</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3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总分</w:t>
            </w:r>
          </w:p>
        </w:tc>
        <w:tc>
          <w:tcPr>
            <w:tcW w:w="32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ESI仿宋-GB2312" w:hAnsi="CESI仿宋-GB2312" w:eastAsia="CESI仿宋-GB2312" w:cs="CESI仿宋-GB2312"/>
                <w:i w:val="0"/>
                <w:iCs w:val="0"/>
                <w:color w:val="000000"/>
                <w:sz w:val="24"/>
                <w:szCs w:val="24"/>
                <w:u w:val="none"/>
                <w:lang w:val="en-US"/>
              </w:rPr>
            </w:pPr>
            <w:r>
              <w:rPr>
                <w:rFonts w:hint="eastAsia" w:ascii="CESI仿宋-GB2312" w:hAnsi="CESI仿宋-GB2312" w:eastAsia="CESI仿宋-GB2312" w:cs="CESI仿宋-GB2312"/>
                <w:i w:val="0"/>
                <w:iCs w:val="0"/>
                <w:color w:val="000000"/>
                <w:kern w:val="0"/>
                <w:sz w:val="24"/>
                <w:szCs w:val="24"/>
                <w:u w:val="none"/>
                <w:lang w:val="en-US" w:eastAsia="zh-CN" w:bidi="ar"/>
              </w:rPr>
              <w:t>95.2</w:t>
            </w:r>
          </w:p>
        </w:tc>
      </w:tr>
    </w:tbl>
    <w:p>
      <w:pPr>
        <w:pStyle w:val="20"/>
        <w:keepNext w:val="0"/>
        <w:keepLines w:val="0"/>
        <w:pageBreakBefore w:val="0"/>
        <w:widowControl/>
        <w:kinsoku/>
        <w:wordWrap/>
        <w:overflowPunct/>
        <w:topLinePunct w:val="0"/>
        <w:autoSpaceDE/>
        <w:autoSpaceDN/>
        <w:bidi w:val="0"/>
        <w:adjustRightInd/>
        <w:snapToGrid/>
        <w:ind w:left="0" w:right="0" w:firstLine="480" w:firstLineChars="200"/>
        <w:jc w:val="center"/>
        <w:textAlignment w:val="auto"/>
        <w:outlineLvl w:val="9"/>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ind w:firstLine="883" w:firstLineChars="200"/>
        <w:jc w:val="both"/>
        <w:textAlignment w:val="center"/>
        <w:rPr>
          <w:rFonts w:hint="default" w:ascii="黑体" w:hAnsi="黑体" w:eastAsia="黑体" w:cs="黑体"/>
          <w:b/>
          <w:i w:val="0"/>
          <w:color w:val="000000"/>
          <w:kern w:val="0"/>
          <w:sz w:val="44"/>
          <w:szCs w:val="44"/>
          <w:u w:val="none"/>
          <w:lang w:val="en-US" w:eastAsia="zh-CN" w:bidi="ar"/>
        </w:rPr>
        <w:sectPr>
          <w:pgSz w:w="16838" w:h="11906" w:orient="landscape"/>
          <w:pgMar w:top="1531" w:right="1701" w:bottom="1531" w:left="1701" w:header="0" w:footer="720" w:gutter="0"/>
          <w:pgBorders>
            <w:top w:val="none" w:sz="0" w:space="0"/>
            <w:left w:val="none" w:sz="0" w:space="0"/>
            <w:bottom w:val="none" w:sz="0" w:space="0"/>
            <w:right w:val="none" w:sz="0" w:space="0"/>
          </w:pgBorders>
          <w:cols w:space="425" w:num="1"/>
          <w:docGrid w:type="lines" w:linePitch="312" w:charSpace="0"/>
        </w:sectPr>
      </w:pPr>
    </w:p>
    <w:p>
      <w:pPr>
        <w:pStyle w:val="20"/>
        <w:keepNext w:val="0"/>
        <w:keepLines w:val="0"/>
        <w:pageBreakBefore w:val="0"/>
        <w:widowControl/>
        <w:kinsoku/>
        <w:wordWrap/>
        <w:overflowPunct/>
        <w:topLinePunct w:val="0"/>
        <w:autoSpaceDE/>
        <w:autoSpaceDN/>
        <w:bidi w:val="0"/>
        <w:adjustRightInd/>
        <w:snapToGrid/>
        <w:spacing w:before="240" w:after="240" w:line="240" w:lineRule="atLeast"/>
        <w:jc w:val="center"/>
        <w:textAlignment w:val="auto"/>
        <w:rPr>
          <w:rFonts w:ascii="Times New Roman" w:hAnsi="Times New Roman" w:eastAsia="Times New Roman" w:cs="Times New Roman"/>
          <w:kern w:val="0"/>
          <w:sz w:val="36"/>
          <w:szCs w:val="36"/>
        </w:rPr>
      </w:pPr>
      <w:r>
        <w:rPr>
          <w:rFonts w:hint="eastAsia" w:ascii="宋体" w:hAnsi="宋体" w:cs="宋体"/>
          <w:b/>
          <w:bCs/>
          <w:kern w:val="0"/>
          <w:sz w:val="36"/>
          <w:szCs w:val="36"/>
        </w:rPr>
        <w:t>自然资源</w:t>
      </w:r>
      <w:r>
        <w:rPr>
          <w:rFonts w:hint="eastAsia" w:ascii="宋体" w:hAnsi="宋体" w:cs="宋体"/>
          <w:b/>
          <w:bCs/>
          <w:kern w:val="0"/>
          <w:sz w:val="36"/>
          <w:szCs w:val="36"/>
          <w:lang w:eastAsia="zh-CN"/>
        </w:rPr>
        <w:t>执法办案</w:t>
      </w:r>
      <w:r>
        <w:rPr>
          <w:rFonts w:hint="eastAsia" w:ascii="宋体" w:hAnsi="宋体" w:cs="宋体"/>
          <w:b/>
          <w:bCs/>
          <w:kern w:val="0"/>
          <w:sz w:val="36"/>
          <w:szCs w:val="36"/>
        </w:rPr>
        <w:t>经费</w:t>
      </w:r>
      <w:r>
        <w:rPr>
          <w:rFonts w:ascii="宋体" w:hAnsi="宋体" w:cs="宋体"/>
          <w:b/>
          <w:bCs/>
          <w:kern w:val="0"/>
          <w:sz w:val="36"/>
          <w:szCs w:val="36"/>
        </w:rPr>
        <w:t>绩效自评表</w:t>
      </w:r>
    </w:p>
    <w:p>
      <w:pPr>
        <w:pStyle w:val="20"/>
        <w:keepNext w:val="0"/>
        <w:keepLines w:val="0"/>
        <w:pageBreakBefore w:val="0"/>
        <w:widowControl/>
        <w:kinsoku/>
        <w:wordWrap/>
        <w:overflowPunct/>
        <w:topLinePunct w:val="0"/>
        <w:autoSpaceDE/>
        <w:autoSpaceDN/>
        <w:bidi w:val="0"/>
        <w:adjustRightInd/>
        <w:snapToGrid/>
        <w:spacing w:before="240" w:after="240" w:line="240" w:lineRule="atLeast"/>
        <w:jc w:val="center"/>
        <w:textAlignment w:val="auto"/>
        <w:rPr>
          <w:rFonts w:ascii="宋体" w:hAnsi="宋体" w:cs="宋体"/>
          <w:kern w:val="0"/>
          <w:sz w:val="22"/>
          <w:szCs w:val="22"/>
        </w:rPr>
      </w:pPr>
      <w:r>
        <w:rPr>
          <w:rFonts w:ascii="宋体" w:hAnsi="宋体" w:cs="宋体"/>
          <w:kern w:val="0"/>
          <w:sz w:val="22"/>
          <w:szCs w:val="22"/>
        </w:rPr>
        <w:t>（</w:t>
      </w:r>
      <w:r>
        <w:rPr>
          <w:rFonts w:ascii="宋体" w:hAnsi="宋体" w:cs="宋体"/>
          <w:kern w:val="0"/>
          <w:sz w:val="24"/>
          <w:szCs w:val="24"/>
        </w:rPr>
        <w:t>202</w:t>
      </w:r>
      <w:r>
        <w:rPr>
          <w:rFonts w:hint="eastAsia" w:ascii="宋体" w:hAnsi="宋体" w:cs="宋体"/>
          <w:kern w:val="0"/>
          <w:sz w:val="24"/>
          <w:szCs w:val="24"/>
          <w:lang w:val="en-US" w:eastAsia="zh-CN"/>
        </w:rPr>
        <w:t>5</w:t>
      </w:r>
      <w:r>
        <w:rPr>
          <w:rFonts w:ascii="宋体" w:hAnsi="宋体" w:cs="宋体"/>
          <w:kern w:val="0"/>
          <w:sz w:val="24"/>
          <w:szCs w:val="24"/>
        </w:rPr>
        <w:t>年度</w:t>
      </w:r>
      <w:r>
        <w:rPr>
          <w:rFonts w:ascii="宋体" w:hAnsi="宋体" w:cs="宋体"/>
          <w:kern w:val="0"/>
          <w:sz w:val="22"/>
          <w:szCs w:val="22"/>
        </w:rPr>
        <w:t>）</w:t>
      </w:r>
    </w:p>
    <w:tbl>
      <w:tblPr>
        <w:tblStyle w:val="9"/>
        <w:tblW w:w="136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2"/>
        <w:gridCol w:w="1212"/>
        <w:gridCol w:w="1921"/>
        <w:gridCol w:w="1342"/>
        <w:gridCol w:w="1343"/>
        <w:gridCol w:w="1245"/>
        <w:gridCol w:w="1245"/>
        <w:gridCol w:w="918"/>
        <w:gridCol w:w="918"/>
        <w:gridCol w:w="2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45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项目名称</w:t>
            </w:r>
          </w:p>
        </w:tc>
        <w:tc>
          <w:tcPr>
            <w:tcW w:w="909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自然资源执法办案经费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45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主管部门</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福建省自然资源厅</w:t>
            </w:r>
          </w:p>
        </w:tc>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实施单位</w:t>
            </w:r>
          </w:p>
        </w:tc>
        <w:tc>
          <w:tcPr>
            <w:tcW w:w="39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福建省自然资源厅（本级）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14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项目资金(万元)</w:t>
            </w:r>
          </w:p>
        </w:tc>
        <w:tc>
          <w:tcPr>
            <w:tcW w:w="3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年初预算数</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全年预算数</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全年执行数</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分值</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执行率</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3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年度资金总额</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47.50 </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47.50 </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47.50 </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100 </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3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其中：当年财政拨款</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47.50 </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47.50 </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lang w:val="en-US"/>
              </w:rPr>
            </w:pPr>
            <w:r>
              <w:rPr>
                <w:rFonts w:hint="eastAsia" w:ascii="CESI仿宋-GB2312" w:hAnsi="CESI仿宋-GB2312" w:eastAsia="CESI仿宋-GB2312" w:cs="CESI仿宋-GB2312"/>
                <w:i w:val="0"/>
                <w:iCs w:val="0"/>
                <w:color w:val="000000"/>
                <w:kern w:val="0"/>
                <w:sz w:val="24"/>
                <w:szCs w:val="24"/>
                <w:u w:val="none"/>
                <w:lang w:val="en-US" w:eastAsia="zh-CN" w:bidi="ar"/>
              </w:rPr>
              <w:t>47.50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lang w:val="en-US"/>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3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其他资金</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0.00</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0.00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4" w:hRule="atLeast"/>
        </w:trPr>
        <w:tc>
          <w:tcPr>
            <w:tcW w:w="14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年度总体目标</w:t>
            </w:r>
          </w:p>
        </w:tc>
        <w:tc>
          <w:tcPr>
            <w:tcW w:w="58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预期目标</w:t>
            </w:r>
          </w:p>
        </w:tc>
        <w:tc>
          <w:tcPr>
            <w:tcW w:w="64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6"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CESI仿宋-GB2312" w:hAnsi="CESI仿宋-GB2312" w:eastAsia="CESI仿宋-GB2312" w:cs="CESI仿宋-GB2312"/>
                <w:i w:val="0"/>
                <w:iCs w:val="0"/>
                <w:color w:val="000000"/>
                <w:sz w:val="24"/>
                <w:szCs w:val="24"/>
                <w:u w:val="none"/>
              </w:rPr>
            </w:pPr>
          </w:p>
        </w:tc>
        <w:tc>
          <w:tcPr>
            <w:tcW w:w="5818"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 xml:space="preserve">进一步加强矿海资源保护、规划监督，提高职能部门的执法办案成效。          </w:t>
            </w:r>
          </w:p>
        </w:tc>
        <w:tc>
          <w:tcPr>
            <w:tcW w:w="640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进一步加强矿海资源保护、规划监督，提高职能部门的执法办案成效。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20" w:hRule="atLeast"/>
        </w:trPr>
        <w:tc>
          <w:tcPr>
            <w:tcW w:w="14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绩效</w:t>
            </w:r>
            <w:r>
              <w:rPr>
                <w:rFonts w:hint="eastAsia" w:ascii="CESI仿宋-GB2312" w:hAnsi="CESI仿宋-GB2312" w:eastAsia="CESI仿宋-GB2312" w:cs="CESI仿宋-GB2312"/>
                <w:i w:val="0"/>
                <w:iCs w:val="0"/>
                <w:color w:val="000000"/>
                <w:kern w:val="0"/>
                <w:sz w:val="24"/>
                <w:szCs w:val="24"/>
                <w:u w:val="none"/>
                <w:lang w:val="en-US" w:eastAsia="zh-CN" w:bidi="ar"/>
              </w:rPr>
              <w:br w:type="textWrapping"/>
            </w:r>
            <w:r>
              <w:rPr>
                <w:rFonts w:hint="eastAsia" w:ascii="CESI仿宋-GB2312" w:hAnsi="CESI仿宋-GB2312" w:eastAsia="CESI仿宋-GB2312" w:cs="CESI仿宋-GB2312"/>
                <w:i w:val="0"/>
                <w:iCs w:val="0"/>
                <w:color w:val="000000"/>
                <w:kern w:val="0"/>
                <w:sz w:val="24"/>
                <w:szCs w:val="24"/>
                <w:u w:val="none"/>
                <w:lang w:val="en-US" w:eastAsia="zh-CN" w:bidi="ar"/>
              </w:rPr>
              <w:t>指标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一级指标</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二级指标</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三级指标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年度指标值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实际完成值</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指标分值</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自评得分</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成本指标</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经济成本指标</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成本控制率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20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效益指标</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社会效益指标</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案件处置率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≥70%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30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满意度指标</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服务对象满意度指标</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服务对象满意度</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产出指标</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数量指标</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实地核查图斑数</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质量指标</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监督检查覆盖率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时效指标</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开展实地核查及时性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≥90%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10</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CESI仿宋-GB2312" w:hAnsi="CESI仿宋-GB2312" w:eastAsia="CESI仿宋-GB2312" w:cs="CESI仿宋-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97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总分</w:t>
            </w:r>
          </w:p>
        </w:tc>
        <w:tc>
          <w:tcPr>
            <w:tcW w:w="39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u w:val="none"/>
              </w:rPr>
            </w:pPr>
            <w:r>
              <w:rPr>
                <w:rFonts w:hint="eastAsia" w:ascii="CESI仿宋-GB2312" w:hAnsi="CESI仿宋-GB2312" w:eastAsia="CESI仿宋-GB2312" w:cs="CESI仿宋-GB2312"/>
                <w:i w:val="0"/>
                <w:iCs w:val="0"/>
                <w:color w:val="000000"/>
                <w:kern w:val="0"/>
                <w:sz w:val="24"/>
                <w:szCs w:val="24"/>
                <w:u w:val="none"/>
                <w:lang w:val="en-US" w:eastAsia="zh-CN" w:bidi="ar"/>
              </w:rPr>
              <w:t>96.5</w:t>
            </w:r>
          </w:p>
        </w:tc>
      </w:tr>
    </w:tbl>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both"/>
        <w:textAlignment w:val="center"/>
        <w:rPr>
          <w:rFonts w:hint="eastAsia" w:ascii="宋体" w:hAnsi="宋体" w:eastAsia="宋体" w:cs="宋体"/>
          <w:i w:val="0"/>
          <w:color w:val="000000"/>
          <w:kern w:val="0"/>
          <w:sz w:val="24"/>
          <w:szCs w:val="24"/>
          <w:u w:val="none"/>
          <w:lang w:val="en-US" w:eastAsia="zh-CN" w:bidi="ar"/>
        </w:rPr>
      </w:pPr>
    </w:p>
    <w:p>
      <w:pPr>
        <w:pStyle w:val="2"/>
      </w:pPr>
    </w:p>
    <w:sectPr>
      <w:pgSz w:w="16838" w:h="11906" w:orient="landscape"/>
      <w:pgMar w:top="1531" w:right="1701" w:bottom="1531"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黑体.....">
    <w:altName w:val="方正黑体_GBK"/>
    <w:panose1 w:val="00000000000000000000"/>
    <w:charset w:val="86"/>
    <w:family w:val="swiss"/>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560" w:firstLineChars="2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6 -</w:t>
    </w:r>
    <w:r>
      <w:rPr>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26</w:t>
    </w:r>
    <w:r>
      <w:rPr>
        <w:rFonts w:ascii="宋体" w:hAnsi="宋体" w:eastAsia="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FB744"/>
    <w:multiLevelType w:val="singleLevel"/>
    <w:tmpl w:val="49BFB744"/>
    <w:lvl w:ilvl="0" w:tentative="0">
      <w:start w:val="3"/>
      <w:numFmt w:val="chineseCounting"/>
      <w:suff w:val="nothing"/>
      <w:lvlText w:val="（%1）"/>
      <w:lvlJc w:val="left"/>
      <w:rPr>
        <w:rFonts w:hint="eastAsia" w:ascii="楷体_GB2312" w:hAnsi="楷体_GB2312" w:eastAsia="楷体_GB2312" w:cs="楷体_GB2312"/>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bordersDoNotSurroundHeader w:val="0"/>
  <w:bordersDoNotSurroundFooter w:val="0"/>
  <w:revisionView w:markup="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9A9"/>
    <w:rsid w:val="00004305"/>
    <w:rsid w:val="0002351C"/>
    <w:rsid w:val="00051C06"/>
    <w:rsid w:val="0007452D"/>
    <w:rsid w:val="00086558"/>
    <w:rsid w:val="000E0654"/>
    <w:rsid w:val="000F1138"/>
    <w:rsid w:val="0010732F"/>
    <w:rsid w:val="001270F2"/>
    <w:rsid w:val="0012746F"/>
    <w:rsid w:val="0014407E"/>
    <w:rsid w:val="00145556"/>
    <w:rsid w:val="00145E5D"/>
    <w:rsid w:val="001618A9"/>
    <w:rsid w:val="00164CB7"/>
    <w:rsid w:val="00167580"/>
    <w:rsid w:val="001731FE"/>
    <w:rsid w:val="00176984"/>
    <w:rsid w:val="00177B1F"/>
    <w:rsid w:val="001902C5"/>
    <w:rsid w:val="00192491"/>
    <w:rsid w:val="00193F98"/>
    <w:rsid w:val="001A0FC3"/>
    <w:rsid w:val="001C0FCB"/>
    <w:rsid w:val="001C2C68"/>
    <w:rsid w:val="001E09A7"/>
    <w:rsid w:val="001E1870"/>
    <w:rsid w:val="00211534"/>
    <w:rsid w:val="00215A7F"/>
    <w:rsid w:val="0023447B"/>
    <w:rsid w:val="002351E3"/>
    <w:rsid w:val="00243516"/>
    <w:rsid w:val="0027318D"/>
    <w:rsid w:val="00273D47"/>
    <w:rsid w:val="002C6AB2"/>
    <w:rsid w:val="00306AAB"/>
    <w:rsid w:val="00340EF1"/>
    <w:rsid w:val="00377519"/>
    <w:rsid w:val="00377FF0"/>
    <w:rsid w:val="003B74A4"/>
    <w:rsid w:val="003C28CE"/>
    <w:rsid w:val="003C6215"/>
    <w:rsid w:val="003D6C67"/>
    <w:rsid w:val="003F76FA"/>
    <w:rsid w:val="004055E6"/>
    <w:rsid w:val="004109D8"/>
    <w:rsid w:val="00410CA2"/>
    <w:rsid w:val="00413168"/>
    <w:rsid w:val="004145AD"/>
    <w:rsid w:val="0049528B"/>
    <w:rsid w:val="004C7FDB"/>
    <w:rsid w:val="004F1429"/>
    <w:rsid w:val="004F1FFD"/>
    <w:rsid w:val="004F60FA"/>
    <w:rsid w:val="005004C8"/>
    <w:rsid w:val="00503B71"/>
    <w:rsid w:val="005103AE"/>
    <w:rsid w:val="00532FC8"/>
    <w:rsid w:val="00540990"/>
    <w:rsid w:val="00551698"/>
    <w:rsid w:val="005636F9"/>
    <w:rsid w:val="005C4F6D"/>
    <w:rsid w:val="005C7CE0"/>
    <w:rsid w:val="005D70CB"/>
    <w:rsid w:val="006344C4"/>
    <w:rsid w:val="0064397E"/>
    <w:rsid w:val="00644184"/>
    <w:rsid w:val="006567CB"/>
    <w:rsid w:val="006A3BD6"/>
    <w:rsid w:val="006D6AF4"/>
    <w:rsid w:val="006E094F"/>
    <w:rsid w:val="006F10EF"/>
    <w:rsid w:val="007117C7"/>
    <w:rsid w:val="007310D0"/>
    <w:rsid w:val="00734771"/>
    <w:rsid w:val="00750DC4"/>
    <w:rsid w:val="00766364"/>
    <w:rsid w:val="00776C80"/>
    <w:rsid w:val="007A599F"/>
    <w:rsid w:val="007A776B"/>
    <w:rsid w:val="007B05ED"/>
    <w:rsid w:val="007B0B86"/>
    <w:rsid w:val="007B6D34"/>
    <w:rsid w:val="007C0F2D"/>
    <w:rsid w:val="007F1363"/>
    <w:rsid w:val="007F1BFC"/>
    <w:rsid w:val="007F6670"/>
    <w:rsid w:val="00812434"/>
    <w:rsid w:val="00832783"/>
    <w:rsid w:val="008570CD"/>
    <w:rsid w:val="00857B1A"/>
    <w:rsid w:val="00860E9C"/>
    <w:rsid w:val="00861DAB"/>
    <w:rsid w:val="008776B0"/>
    <w:rsid w:val="00883CFD"/>
    <w:rsid w:val="0089210B"/>
    <w:rsid w:val="0089563B"/>
    <w:rsid w:val="008D6DB5"/>
    <w:rsid w:val="009132B2"/>
    <w:rsid w:val="00926A3B"/>
    <w:rsid w:val="00964CA5"/>
    <w:rsid w:val="00966D58"/>
    <w:rsid w:val="009B6161"/>
    <w:rsid w:val="009D759E"/>
    <w:rsid w:val="00A177A9"/>
    <w:rsid w:val="00A47F42"/>
    <w:rsid w:val="00A82B32"/>
    <w:rsid w:val="00AA51A1"/>
    <w:rsid w:val="00AD5B1D"/>
    <w:rsid w:val="00AF47E3"/>
    <w:rsid w:val="00B0041F"/>
    <w:rsid w:val="00B02F45"/>
    <w:rsid w:val="00B07CFA"/>
    <w:rsid w:val="00B409A9"/>
    <w:rsid w:val="00B636AD"/>
    <w:rsid w:val="00B71127"/>
    <w:rsid w:val="00B8650D"/>
    <w:rsid w:val="00B949B5"/>
    <w:rsid w:val="00B97F1C"/>
    <w:rsid w:val="00BB547D"/>
    <w:rsid w:val="00BD45E7"/>
    <w:rsid w:val="00BE21C6"/>
    <w:rsid w:val="00C002F2"/>
    <w:rsid w:val="00C059EF"/>
    <w:rsid w:val="00C122CC"/>
    <w:rsid w:val="00C43427"/>
    <w:rsid w:val="00C81499"/>
    <w:rsid w:val="00C82ECE"/>
    <w:rsid w:val="00C94C0D"/>
    <w:rsid w:val="00CC3692"/>
    <w:rsid w:val="00CC6497"/>
    <w:rsid w:val="00CD26E1"/>
    <w:rsid w:val="00CD35BB"/>
    <w:rsid w:val="00CD49AD"/>
    <w:rsid w:val="00D0143C"/>
    <w:rsid w:val="00D3337B"/>
    <w:rsid w:val="00D426E9"/>
    <w:rsid w:val="00D502CB"/>
    <w:rsid w:val="00D52F5C"/>
    <w:rsid w:val="00D55833"/>
    <w:rsid w:val="00D74882"/>
    <w:rsid w:val="00DD6708"/>
    <w:rsid w:val="00E104EE"/>
    <w:rsid w:val="00E15F73"/>
    <w:rsid w:val="00E47C61"/>
    <w:rsid w:val="00E61B46"/>
    <w:rsid w:val="00E63B08"/>
    <w:rsid w:val="00E70C9D"/>
    <w:rsid w:val="00E71BCD"/>
    <w:rsid w:val="00E83A1A"/>
    <w:rsid w:val="00E861E2"/>
    <w:rsid w:val="00E933DB"/>
    <w:rsid w:val="00EA50C7"/>
    <w:rsid w:val="00EA7E4D"/>
    <w:rsid w:val="00EB372A"/>
    <w:rsid w:val="00EC062A"/>
    <w:rsid w:val="00ED22FC"/>
    <w:rsid w:val="00ED6224"/>
    <w:rsid w:val="00EE5E11"/>
    <w:rsid w:val="00EE7AD0"/>
    <w:rsid w:val="00EF1A66"/>
    <w:rsid w:val="00F01815"/>
    <w:rsid w:val="00F26985"/>
    <w:rsid w:val="00F527F2"/>
    <w:rsid w:val="00F63954"/>
    <w:rsid w:val="00F90DD3"/>
    <w:rsid w:val="00FB4399"/>
    <w:rsid w:val="00FB707A"/>
    <w:rsid w:val="00FF293C"/>
    <w:rsid w:val="01147F82"/>
    <w:rsid w:val="0170184F"/>
    <w:rsid w:val="01DE089D"/>
    <w:rsid w:val="02A276E1"/>
    <w:rsid w:val="02C16911"/>
    <w:rsid w:val="02D84A47"/>
    <w:rsid w:val="030463D8"/>
    <w:rsid w:val="039755A9"/>
    <w:rsid w:val="039C3694"/>
    <w:rsid w:val="03D02352"/>
    <w:rsid w:val="0400747C"/>
    <w:rsid w:val="048146F4"/>
    <w:rsid w:val="04B460D2"/>
    <w:rsid w:val="04B73549"/>
    <w:rsid w:val="04F15CAC"/>
    <w:rsid w:val="0527244C"/>
    <w:rsid w:val="054B11FB"/>
    <w:rsid w:val="05C86C09"/>
    <w:rsid w:val="05E82BC0"/>
    <w:rsid w:val="064055CE"/>
    <w:rsid w:val="065F2DE1"/>
    <w:rsid w:val="06A941C7"/>
    <w:rsid w:val="06ED0F6A"/>
    <w:rsid w:val="06F17970"/>
    <w:rsid w:val="0735212B"/>
    <w:rsid w:val="0759609B"/>
    <w:rsid w:val="07883876"/>
    <w:rsid w:val="07C16B97"/>
    <w:rsid w:val="07C33549"/>
    <w:rsid w:val="07FA7E23"/>
    <w:rsid w:val="08793FA4"/>
    <w:rsid w:val="08A50077"/>
    <w:rsid w:val="08FE06A8"/>
    <w:rsid w:val="09161874"/>
    <w:rsid w:val="09642C78"/>
    <w:rsid w:val="096545AE"/>
    <w:rsid w:val="098553AB"/>
    <w:rsid w:val="098D0910"/>
    <w:rsid w:val="09941850"/>
    <w:rsid w:val="09965645"/>
    <w:rsid w:val="09B83739"/>
    <w:rsid w:val="0AB512B9"/>
    <w:rsid w:val="0AC161F3"/>
    <w:rsid w:val="0AC51722"/>
    <w:rsid w:val="0AD22E4F"/>
    <w:rsid w:val="0B352404"/>
    <w:rsid w:val="0B3C760F"/>
    <w:rsid w:val="0B710869"/>
    <w:rsid w:val="0BE34829"/>
    <w:rsid w:val="0BE43E2A"/>
    <w:rsid w:val="0C0D3381"/>
    <w:rsid w:val="0C403025"/>
    <w:rsid w:val="0C7A1742"/>
    <w:rsid w:val="0D4F31E3"/>
    <w:rsid w:val="0D847E39"/>
    <w:rsid w:val="0D9B7B45"/>
    <w:rsid w:val="0DD61353"/>
    <w:rsid w:val="0DDB033B"/>
    <w:rsid w:val="0E3B58C3"/>
    <w:rsid w:val="0E3C1B66"/>
    <w:rsid w:val="0E5073B0"/>
    <w:rsid w:val="0F125876"/>
    <w:rsid w:val="0F231E64"/>
    <w:rsid w:val="0F305812"/>
    <w:rsid w:val="0F656151"/>
    <w:rsid w:val="0FAD4F31"/>
    <w:rsid w:val="0FD95284"/>
    <w:rsid w:val="101A497B"/>
    <w:rsid w:val="105F3DEA"/>
    <w:rsid w:val="1063645C"/>
    <w:rsid w:val="10A83907"/>
    <w:rsid w:val="10C601D7"/>
    <w:rsid w:val="11352B49"/>
    <w:rsid w:val="114679F4"/>
    <w:rsid w:val="11471B69"/>
    <w:rsid w:val="11791E65"/>
    <w:rsid w:val="119170D6"/>
    <w:rsid w:val="11930964"/>
    <w:rsid w:val="11E22BBA"/>
    <w:rsid w:val="125D38B0"/>
    <w:rsid w:val="12A86EE1"/>
    <w:rsid w:val="133B7BEC"/>
    <w:rsid w:val="134C4067"/>
    <w:rsid w:val="137C6286"/>
    <w:rsid w:val="13D17E28"/>
    <w:rsid w:val="144F4060"/>
    <w:rsid w:val="14752984"/>
    <w:rsid w:val="14BE5E0F"/>
    <w:rsid w:val="14CE23B0"/>
    <w:rsid w:val="14E70D5B"/>
    <w:rsid w:val="150F30DC"/>
    <w:rsid w:val="15154D22"/>
    <w:rsid w:val="158C14E9"/>
    <w:rsid w:val="15915971"/>
    <w:rsid w:val="16155F4A"/>
    <w:rsid w:val="164B3423"/>
    <w:rsid w:val="16550F32"/>
    <w:rsid w:val="16E847C1"/>
    <w:rsid w:val="16EA1425"/>
    <w:rsid w:val="16EB42BE"/>
    <w:rsid w:val="17085966"/>
    <w:rsid w:val="17473D3D"/>
    <w:rsid w:val="176242BF"/>
    <w:rsid w:val="176D0AA0"/>
    <w:rsid w:val="176F4F02"/>
    <w:rsid w:val="178E6A97"/>
    <w:rsid w:val="179F7397"/>
    <w:rsid w:val="17EC7D4E"/>
    <w:rsid w:val="17F83B61"/>
    <w:rsid w:val="1825592A"/>
    <w:rsid w:val="184C35EB"/>
    <w:rsid w:val="18801A40"/>
    <w:rsid w:val="18965635"/>
    <w:rsid w:val="18FF6912"/>
    <w:rsid w:val="19763B18"/>
    <w:rsid w:val="198C33B8"/>
    <w:rsid w:val="1998697F"/>
    <w:rsid w:val="19FD071D"/>
    <w:rsid w:val="1AA64EAD"/>
    <w:rsid w:val="1ABA6BE8"/>
    <w:rsid w:val="1AC54F79"/>
    <w:rsid w:val="1AED482B"/>
    <w:rsid w:val="1B373F76"/>
    <w:rsid w:val="1BBC31F3"/>
    <w:rsid w:val="1C1553FF"/>
    <w:rsid w:val="1C6C4030"/>
    <w:rsid w:val="1C752741"/>
    <w:rsid w:val="1CAA3340"/>
    <w:rsid w:val="1CBD04AB"/>
    <w:rsid w:val="1CD22DE5"/>
    <w:rsid w:val="1D5368AC"/>
    <w:rsid w:val="1D762F66"/>
    <w:rsid w:val="1D8C7E6E"/>
    <w:rsid w:val="1D8F0099"/>
    <w:rsid w:val="1DCA77EF"/>
    <w:rsid w:val="1DE676BF"/>
    <w:rsid w:val="1E027AA5"/>
    <w:rsid w:val="1E2E3C90"/>
    <w:rsid w:val="1E8667B5"/>
    <w:rsid w:val="1EB33EEA"/>
    <w:rsid w:val="1F3A674C"/>
    <w:rsid w:val="205B27D3"/>
    <w:rsid w:val="214C6E7F"/>
    <w:rsid w:val="21506579"/>
    <w:rsid w:val="21C278B0"/>
    <w:rsid w:val="21CA7CFF"/>
    <w:rsid w:val="22175824"/>
    <w:rsid w:val="22667B7E"/>
    <w:rsid w:val="22AB6FED"/>
    <w:rsid w:val="22D529EA"/>
    <w:rsid w:val="23424069"/>
    <w:rsid w:val="238115CF"/>
    <w:rsid w:val="238622A0"/>
    <w:rsid w:val="23F93B71"/>
    <w:rsid w:val="24275F57"/>
    <w:rsid w:val="24333840"/>
    <w:rsid w:val="24BA6BD5"/>
    <w:rsid w:val="24EC6623"/>
    <w:rsid w:val="252F258F"/>
    <w:rsid w:val="25D565A0"/>
    <w:rsid w:val="25F1784D"/>
    <w:rsid w:val="2613203D"/>
    <w:rsid w:val="261C6242"/>
    <w:rsid w:val="264B31E0"/>
    <w:rsid w:val="26843EC9"/>
    <w:rsid w:val="26CC60F5"/>
    <w:rsid w:val="26F81B7B"/>
    <w:rsid w:val="270B2D9A"/>
    <w:rsid w:val="274A1985"/>
    <w:rsid w:val="274C0DA9"/>
    <w:rsid w:val="277C7BD6"/>
    <w:rsid w:val="280276BA"/>
    <w:rsid w:val="280F37C9"/>
    <w:rsid w:val="28576C4F"/>
    <w:rsid w:val="290B020C"/>
    <w:rsid w:val="294E4FA4"/>
    <w:rsid w:val="29505FC1"/>
    <w:rsid w:val="2966090F"/>
    <w:rsid w:val="29765412"/>
    <w:rsid w:val="29A504DF"/>
    <w:rsid w:val="29F36060"/>
    <w:rsid w:val="2A485F9A"/>
    <w:rsid w:val="2AD943AC"/>
    <w:rsid w:val="2BC67260"/>
    <w:rsid w:val="2C78584B"/>
    <w:rsid w:val="2C927BAD"/>
    <w:rsid w:val="2CFF31EB"/>
    <w:rsid w:val="2D2E54AB"/>
    <w:rsid w:val="2D4860D7"/>
    <w:rsid w:val="2D5B0BF7"/>
    <w:rsid w:val="2D5B66A8"/>
    <w:rsid w:val="2D9A3CF8"/>
    <w:rsid w:val="2DCD7176"/>
    <w:rsid w:val="2DFD5E0F"/>
    <w:rsid w:val="2E04428C"/>
    <w:rsid w:val="2E1B2C95"/>
    <w:rsid w:val="2E261C16"/>
    <w:rsid w:val="2EC708BB"/>
    <w:rsid w:val="2EDD27A9"/>
    <w:rsid w:val="2EE23C7A"/>
    <w:rsid w:val="2EED1EEA"/>
    <w:rsid w:val="2F760C31"/>
    <w:rsid w:val="2F831CF0"/>
    <w:rsid w:val="2FF80E15"/>
    <w:rsid w:val="30180474"/>
    <w:rsid w:val="304447BB"/>
    <w:rsid w:val="3062635B"/>
    <w:rsid w:val="307A4C95"/>
    <w:rsid w:val="30A51FFF"/>
    <w:rsid w:val="31124266"/>
    <w:rsid w:val="31381BD0"/>
    <w:rsid w:val="318807DC"/>
    <w:rsid w:val="31FB7710"/>
    <w:rsid w:val="32361CB2"/>
    <w:rsid w:val="32874D75"/>
    <w:rsid w:val="329900FB"/>
    <w:rsid w:val="3337290D"/>
    <w:rsid w:val="336842ED"/>
    <w:rsid w:val="33AC3853"/>
    <w:rsid w:val="33B36A61"/>
    <w:rsid w:val="33EA2680"/>
    <w:rsid w:val="343A5501"/>
    <w:rsid w:val="34FF680C"/>
    <w:rsid w:val="35137922"/>
    <w:rsid w:val="35476E77"/>
    <w:rsid w:val="357E25A3"/>
    <w:rsid w:val="35913975"/>
    <w:rsid w:val="35A52C64"/>
    <w:rsid w:val="365A7C39"/>
    <w:rsid w:val="367F6E26"/>
    <w:rsid w:val="368F2BB5"/>
    <w:rsid w:val="370A4175"/>
    <w:rsid w:val="3764396F"/>
    <w:rsid w:val="37995EB4"/>
    <w:rsid w:val="37B26A07"/>
    <w:rsid w:val="380F3E59"/>
    <w:rsid w:val="38536423"/>
    <w:rsid w:val="389804E8"/>
    <w:rsid w:val="38C95F30"/>
    <w:rsid w:val="38E1756D"/>
    <w:rsid w:val="390E7F04"/>
    <w:rsid w:val="39270557"/>
    <w:rsid w:val="3937414E"/>
    <w:rsid w:val="39470EC0"/>
    <w:rsid w:val="395A27A5"/>
    <w:rsid w:val="399D4513"/>
    <w:rsid w:val="3A777043"/>
    <w:rsid w:val="3AB02FA5"/>
    <w:rsid w:val="3AB265D9"/>
    <w:rsid w:val="3AED5FA8"/>
    <w:rsid w:val="3AF947CF"/>
    <w:rsid w:val="3BB71650"/>
    <w:rsid w:val="3BBA40DC"/>
    <w:rsid w:val="3BF868F0"/>
    <w:rsid w:val="3BF96ABB"/>
    <w:rsid w:val="3C017F5D"/>
    <w:rsid w:val="3C2D6464"/>
    <w:rsid w:val="3C3375D8"/>
    <w:rsid w:val="3C746980"/>
    <w:rsid w:val="3C9B197D"/>
    <w:rsid w:val="3CD42DDC"/>
    <w:rsid w:val="3CD91462"/>
    <w:rsid w:val="3DA85E1A"/>
    <w:rsid w:val="3DE4273B"/>
    <w:rsid w:val="3DF641B8"/>
    <w:rsid w:val="3E012549"/>
    <w:rsid w:val="3E32264F"/>
    <w:rsid w:val="3E7B6F01"/>
    <w:rsid w:val="3E8A6C2A"/>
    <w:rsid w:val="3E9A5940"/>
    <w:rsid w:val="3E9E2047"/>
    <w:rsid w:val="3ECB1F84"/>
    <w:rsid w:val="3F116AD1"/>
    <w:rsid w:val="3F262159"/>
    <w:rsid w:val="3F32667F"/>
    <w:rsid w:val="3F78302F"/>
    <w:rsid w:val="3F9A1AA6"/>
    <w:rsid w:val="3FBE7F20"/>
    <w:rsid w:val="3FD3253F"/>
    <w:rsid w:val="40D50D6D"/>
    <w:rsid w:val="40DF167D"/>
    <w:rsid w:val="40E55E64"/>
    <w:rsid w:val="410020DD"/>
    <w:rsid w:val="413B0711"/>
    <w:rsid w:val="41633514"/>
    <w:rsid w:val="419C74B1"/>
    <w:rsid w:val="41A879CB"/>
    <w:rsid w:val="41FF7556"/>
    <w:rsid w:val="42336996"/>
    <w:rsid w:val="423A314E"/>
    <w:rsid w:val="4282649A"/>
    <w:rsid w:val="42BD668F"/>
    <w:rsid w:val="4330314B"/>
    <w:rsid w:val="439F203E"/>
    <w:rsid w:val="43A65D4C"/>
    <w:rsid w:val="43D922DF"/>
    <w:rsid w:val="43EF4482"/>
    <w:rsid w:val="4410023A"/>
    <w:rsid w:val="44F07E44"/>
    <w:rsid w:val="450B19A9"/>
    <w:rsid w:val="453D79A8"/>
    <w:rsid w:val="457277D5"/>
    <w:rsid w:val="459019B0"/>
    <w:rsid w:val="45A4125B"/>
    <w:rsid w:val="45B10E25"/>
    <w:rsid w:val="45B21B65"/>
    <w:rsid w:val="45B375E6"/>
    <w:rsid w:val="45C35682"/>
    <w:rsid w:val="462D7F8D"/>
    <w:rsid w:val="46594722"/>
    <w:rsid w:val="466301CA"/>
    <w:rsid w:val="46733805"/>
    <w:rsid w:val="478C4F93"/>
    <w:rsid w:val="47903DEC"/>
    <w:rsid w:val="47FE172A"/>
    <w:rsid w:val="48096DEF"/>
    <w:rsid w:val="481B05F8"/>
    <w:rsid w:val="484905B0"/>
    <w:rsid w:val="484F02A2"/>
    <w:rsid w:val="48835206"/>
    <w:rsid w:val="48C14CEB"/>
    <w:rsid w:val="48DB0B22"/>
    <w:rsid w:val="49834DA9"/>
    <w:rsid w:val="49BC0B8D"/>
    <w:rsid w:val="4A686E46"/>
    <w:rsid w:val="4ACD6045"/>
    <w:rsid w:val="4AD54756"/>
    <w:rsid w:val="4AE46AC0"/>
    <w:rsid w:val="4B901606"/>
    <w:rsid w:val="4B946B1B"/>
    <w:rsid w:val="4BDD7D6C"/>
    <w:rsid w:val="4BED0980"/>
    <w:rsid w:val="4C3351E5"/>
    <w:rsid w:val="4C3A401D"/>
    <w:rsid w:val="4C6A6D6A"/>
    <w:rsid w:val="4CEE4CBD"/>
    <w:rsid w:val="4D1A6F0E"/>
    <w:rsid w:val="4D376C22"/>
    <w:rsid w:val="4D472ED5"/>
    <w:rsid w:val="4D783DF7"/>
    <w:rsid w:val="4D7A49A9"/>
    <w:rsid w:val="4E353A96"/>
    <w:rsid w:val="4E4C7075"/>
    <w:rsid w:val="4E5E5D81"/>
    <w:rsid w:val="4EB66985"/>
    <w:rsid w:val="4F481721"/>
    <w:rsid w:val="4F824334"/>
    <w:rsid w:val="4FB70272"/>
    <w:rsid w:val="50203030"/>
    <w:rsid w:val="50267A8B"/>
    <w:rsid w:val="5062572B"/>
    <w:rsid w:val="50821724"/>
    <w:rsid w:val="50B53E76"/>
    <w:rsid w:val="515371F8"/>
    <w:rsid w:val="518E73CB"/>
    <w:rsid w:val="51963357"/>
    <w:rsid w:val="52000615"/>
    <w:rsid w:val="52154D37"/>
    <w:rsid w:val="521A59CE"/>
    <w:rsid w:val="52730954"/>
    <w:rsid w:val="52833022"/>
    <w:rsid w:val="52CA2943"/>
    <w:rsid w:val="52F84916"/>
    <w:rsid w:val="5300300A"/>
    <w:rsid w:val="53075520"/>
    <w:rsid w:val="53242390"/>
    <w:rsid w:val="53834143"/>
    <w:rsid w:val="538E4924"/>
    <w:rsid w:val="540E28F4"/>
    <w:rsid w:val="542C5131"/>
    <w:rsid w:val="5454754E"/>
    <w:rsid w:val="54635A38"/>
    <w:rsid w:val="54824E31"/>
    <w:rsid w:val="54D10433"/>
    <w:rsid w:val="55080663"/>
    <w:rsid w:val="553271D3"/>
    <w:rsid w:val="554716F7"/>
    <w:rsid w:val="556876AD"/>
    <w:rsid w:val="5577338B"/>
    <w:rsid w:val="558F1AEB"/>
    <w:rsid w:val="560F7CFB"/>
    <w:rsid w:val="56881D03"/>
    <w:rsid w:val="56B93B57"/>
    <w:rsid w:val="56CD27F8"/>
    <w:rsid w:val="56D111FE"/>
    <w:rsid w:val="56E65920"/>
    <w:rsid w:val="570D735E"/>
    <w:rsid w:val="574B7843"/>
    <w:rsid w:val="586C27AA"/>
    <w:rsid w:val="588A269C"/>
    <w:rsid w:val="58A4192B"/>
    <w:rsid w:val="58AD0727"/>
    <w:rsid w:val="58DC3B90"/>
    <w:rsid w:val="59126EAD"/>
    <w:rsid w:val="591304B3"/>
    <w:rsid w:val="59466384"/>
    <w:rsid w:val="59502944"/>
    <w:rsid w:val="59DE1485"/>
    <w:rsid w:val="5A47502D"/>
    <w:rsid w:val="5AE26D53"/>
    <w:rsid w:val="5AF9704F"/>
    <w:rsid w:val="5B4E6197"/>
    <w:rsid w:val="5B6C0FA7"/>
    <w:rsid w:val="5BAD4574"/>
    <w:rsid w:val="5BD30872"/>
    <w:rsid w:val="5BF42627"/>
    <w:rsid w:val="5C546A2C"/>
    <w:rsid w:val="5CA663A4"/>
    <w:rsid w:val="5CCE6C03"/>
    <w:rsid w:val="5CEA0D70"/>
    <w:rsid w:val="5D44590F"/>
    <w:rsid w:val="5D4E3CA0"/>
    <w:rsid w:val="5D5061F6"/>
    <w:rsid w:val="5D5071A3"/>
    <w:rsid w:val="5DA2372A"/>
    <w:rsid w:val="5DBA7B13"/>
    <w:rsid w:val="5DE83E9E"/>
    <w:rsid w:val="5DEB1F61"/>
    <w:rsid w:val="5E240251"/>
    <w:rsid w:val="5ECD7CEE"/>
    <w:rsid w:val="5EE17532"/>
    <w:rsid w:val="5EEF49CA"/>
    <w:rsid w:val="5F1754B4"/>
    <w:rsid w:val="5F5F4E59"/>
    <w:rsid w:val="5F6B5D8A"/>
    <w:rsid w:val="5FCA2BBF"/>
    <w:rsid w:val="604007A4"/>
    <w:rsid w:val="60A85FA1"/>
    <w:rsid w:val="60F01917"/>
    <w:rsid w:val="61475FA2"/>
    <w:rsid w:val="616D381B"/>
    <w:rsid w:val="618D7518"/>
    <w:rsid w:val="61BF71F4"/>
    <w:rsid w:val="61CC1797"/>
    <w:rsid w:val="61F01D9D"/>
    <w:rsid w:val="625E1910"/>
    <w:rsid w:val="62A63868"/>
    <w:rsid w:val="62C84CD8"/>
    <w:rsid w:val="63041683"/>
    <w:rsid w:val="642D6052"/>
    <w:rsid w:val="64DC567C"/>
    <w:rsid w:val="650023C2"/>
    <w:rsid w:val="65005243"/>
    <w:rsid w:val="654E5711"/>
    <w:rsid w:val="655827BB"/>
    <w:rsid w:val="657D605A"/>
    <w:rsid w:val="658713A2"/>
    <w:rsid w:val="65F86C57"/>
    <w:rsid w:val="66130F86"/>
    <w:rsid w:val="66A43425"/>
    <w:rsid w:val="66CE0A06"/>
    <w:rsid w:val="672D577E"/>
    <w:rsid w:val="678E0472"/>
    <w:rsid w:val="67A17A14"/>
    <w:rsid w:val="67CE4ADF"/>
    <w:rsid w:val="68222D7D"/>
    <w:rsid w:val="68232DFB"/>
    <w:rsid w:val="68404152"/>
    <w:rsid w:val="684969A7"/>
    <w:rsid w:val="68D4658B"/>
    <w:rsid w:val="69095760"/>
    <w:rsid w:val="6989504C"/>
    <w:rsid w:val="69D22DF1"/>
    <w:rsid w:val="6A2A70C9"/>
    <w:rsid w:val="6A401060"/>
    <w:rsid w:val="6ACD67BC"/>
    <w:rsid w:val="6ACE2A96"/>
    <w:rsid w:val="6AD16A19"/>
    <w:rsid w:val="6ADA345D"/>
    <w:rsid w:val="6B9B5A9A"/>
    <w:rsid w:val="6BAB02B2"/>
    <w:rsid w:val="6BAD30F8"/>
    <w:rsid w:val="6BB50A0D"/>
    <w:rsid w:val="6C0341C4"/>
    <w:rsid w:val="6C606ADC"/>
    <w:rsid w:val="6C6966EA"/>
    <w:rsid w:val="6C7B5108"/>
    <w:rsid w:val="6C8B7E8B"/>
    <w:rsid w:val="6CC44707"/>
    <w:rsid w:val="6CF0610E"/>
    <w:rsid w:val="6D0D4676"/>
    <w:rsid w:val="6D231231"/>
    <w:rsid w:val="6D301477"/>
    <w:rsid w:val="6D7A42AB"/>
    <w:rsid w:val="6D9D06E2"/>
    <w:rsid w:val="6DE02450"/>
    <w:rsid w:val="6E10519E"/>
    <w:rsid w:val="6EDC35ED"/>
    <w:rsid w:val="6FA2447A"/>
    <w:rsid w:val="6FC203E7"/>
    <w:rsid w:val="6FDB6AEB"/>
    <w:rsid w:val="6FE663C9"/>
    <w:rsid w:val="6FFF21F4"/>
    <w:rsid w:val="703C0167"/>
    <w:rsid w:val="708E3DDC"/>
    <w:rsid w:val="70D93433"/>
    <w:rsid w:val="71205DA5"/>
    <w:rsid w:val="713D040C"/>
    <w:rsid w:val="71FD235C"/>
    <w:rsid w:val="71FD303F"/>
    <w:rsid w:val="72127AC6"/>
    <w:rsid w:val="72667AFF"/>
    <w:rsid w:val="727F0905"/>
    <w:rsid w:val="728704B4"/>
    <w:rsid w:val="72BE67DE"/>
    <w:rsid w:val="73435817"/>
    <w:rsid w:val="73A47BD6"/>
    <w:rsid w:val="73B057E9"/>
    <w:rsid w:val="73BB01CF"/>
    <w:rsid w:val="73DB72A3"/>
    <w:rsid w:val="744245F4"/>
    <w:rsid w:val="74946027"/>
    <w:rsid w:val="74975458"/>
    <w:rsid w:val="74E61FC4"/>
    <w:rsid w:val="74FA3E77"/>
    <w:rsid w:val="752E7064"/>
    <w:rsid w:val="754C28F1"/>
    <w:rsid w:val="756103A4"/>
    <w:rsid w:val="75B25848"/>
    <w:rsid w:val="75FB149C"/>
    <w:rsid w:val="7616334A"/>
    <w:rsid w:val="763C15B6"/>
    <w:rsid w:val="769723CB"/>
    <w:rsid w:val="7709745B"/>
    <w:rsid w:val="770A571D"/>
    <w:rsid w:val="775AAB19"/>
    <w:rsid w:val="777FBCD4"/>
    <w:rsid w:val="779F3BAA"/>
    <w:rsid w:val="77A950DC"/>
    <w:rsid w:val="77B61C26"/>
    <w:rsid w:val="77B804F8"/>
    <w:rsid w:val="77C5150A"/>
    <w:rsid w:val="77FA641A"/>
    <w:rsid w:val="784A5868"/>
    <w:rsid w:val="784B0697"/>
    <w:rsid w:val="78580923"/>
    <w:rsid w:val="78694A45"/>
    <w:rsid w:val="78746DE5"/>
    <w:rsid w:val="78B4702B"/>
    <w:rsid w:val="790D0389"/>
    <w:rsid w:val="792A6432"/>
    <w:rsid w:val="79AA0C63"/>
    <w:rsid w:val="7A137FC7"/>
    <w:rsid w:val="7A1F20D2"/>
    <w:rsid w:val="7A432414"/>
    <w:rsid w:val="7A7568CF"/>
    <w:rsid w:val="7AA523E5"/>
    <w:rsid w:val="7ADE3CFE"/>
    <w:rsid w:val="7AE411EB"/>
    <w:rsid w:val="7AF5153E"/>
    <w:rsid w:val="7B1B3108"/>
    <w:rsid w:val="7B677539"/>
    <w:rsid w:val="7BB04E02"/>
    <w:rsid w:val="7BF31357"/>
    <w:rsid w:val="7C620503"/>
    <w:rsid w:val="7C6B78E8"/>
    <w:rsid w:val="7C91156F"/>
    <w:rsid w:val="7CB725A5"/>
    <w:rsid w:val="7CD97B5E"/>
    <w:rsid w:val="7CF847E1"/>
    <w:rsid w:val="7D007AE0"/>
    <w:rsid w:val="7D3746FC"/>
    <w:rsid w:val="7DDC7476"/>
    <w:rsid w:val="7DE72DDD"/>
    <w:rsid w:val="7DF13B08"/>
    <w:rsid w:val="7E163D6A"/>
    <w:rsid w:val="7EC8634D"/>
    <w:rsid w:val="7F004FEC"/>
    <w:rsid w:val="7F693EAD"/>
    <w:rsid w:val="7F8660AF"/>
    <w:rsid w:val="7FB46B75"/>
    <w:rsid w:val="7FE73CE9"/>
    <w:rsid w:val="7FF62F7B"/>
    <w:rsid w:val="A7FF36E7"/>
    <w:rsid w:val="ABEF5F84"/>
    <w:rsid w:val="AFFBFD74"/>
    <w:rsid w:val="BCFB4EF9"/>
    <w:rsid w:val="BFBE3569"/>
    <w:rsid w:val="DB77FE1C"/>
    <w:rsid w:val="EF7C557A"/>
    <w:rsid w:val="F3FBD5CF"/>
    <w:rsid w:val="F97D5A71"/>
    <w:rsid w:val="F9FFD6AC"/>
    <w:rsid w:val="FBF73F46"/>
    <w:rsid w:val="FBFF484B"/>
    <w:rsid w:val="FDFD7E32"/>
    <w:rsid w:val="FE3E05CF"/>
    <w:rsid w:val="FECD71BB"/>
    <w:rsid w:val="FEFF3DA5"/>
    <w:rsid w:val="FF534BC2"/>
    <w:rsid w:val="FF7F6FB8"/>
    <w:rsid w:val="FFABC6A9"/>
    <w:rsid w:val="FFE7CB33"/>
    <w:rsid w:val="FFFD8DD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6" w:lineRule="auto"/>
      <w:jc w:val="both"/>
    </w:pPr>
    <w:rPr>
      <w:rFonts w:ascii="Calibri" w:hAnsi="Calibri"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next w:val="3"/>
    <w:link w:val="13"/>
    <w:unhideWhenUsed/>
    <w:qFormat/>
    <w:uiPriority w:val="99"/>
    <w:pPr>
      <w:spacing w:line="240" w:lineRule="auto"/>
    </w:pPr>
    <w:rPr>
      <w:sz w:val="18"/>
      <w:szCs w:val="18"/>
    </w:rPr>
  </w:style>
  <w:style w:type="paragraph" w:styleId="3">
    <w:name w:val="Normal Indent"/>
    <w:basedOn w:val="1"/>
    <w:next w:val="1"/>
    <w:unhideWhenUsed/>
    <w:qFormat/>
    <w:uiPriority w:val="99"/>
    <w:pPr>
      <w:ind w:firstLine="420"/>
    </w:pPr>
  </w:style>
  <w:style w:type="paragraph" w:styleId="4">
    <w:name w:val="Body Text First Indent"/>
    <w:basedOn w:val="5"/>
    <w:next w:val="5"/>
    <w:qFormat/>
    <w:uiPriority w:val="99"/>
    <w:pPr>
      <w:ind w:firstLine="420" w:firstLineChars="100"/>
    </w:pPr>
  </w:style>
  <w:style w:type="paragraph" w:styleId="5">
    <w:name w:val="Body Text"/>
    <w:basedOn w:val="1"/>
    <w:next w:val="4"/>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6">
    <w:name w:val="footer"/>
    <w:basedOn w:val="1"/>
    <w:link w:val="14"/>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无间隔1"/>
    <w:basedOn w:val="1"/>
    <w:qFormat/>
    <w:uiPriority w:val="0"/>
    <w:pPr>
      <w:spacing w:line="400" w:lineRule="exact"/>
    </w:pPr>
    <w:rPr>
      <w:rFonts w:ascii="Calibri" w:hAnsi="Calibri"/>
      <w:sz w:val="24"/>
    </w:rPr>
  </w:style>
  <w:style w:type="character" w:customStyle="1" w:styleId="12">
    <w:name w:val="正文文本 Char"/>
    <w:basedOn w:val="8"/>
    <w:link w:val="5"/>
    <w:qFormat/>
    <w:uiPriority w:val="1"/>
    <w:rPr>
      <w:rFonts w:ascii="Times New Roman" w:hAnsi="Times New Roman" w:eastAsia="Times New Roman" w:cs="Times New Roman"/>
      <w:lang w:eastAsia="en-US"/>
    </w:rPr>
  </w:style>
  <w:style w:type="character" w:customStyle="1" w:styleId="13">
    <w:name w:val="批注框文本 Char"/>
    <w:basedOn w:val="8"/>
    <w:link w:val="2"/>
    <w:semiHidden/>
    <w:qFormat/>
    <w:uiPriority w:val="99"/>
    <w:rPr>
      <w:sz w:val="18"/>
      <w:szCs w:val="18"/>
    </w:rPr>
  </w:style>
  <w:style w:type="character" w:customStyle="1" w:styleId="14">
    <w:name w:val="页脚 Char"/>
    <w:basedOn w:val="8"/>
    <w:link w:val="6"/>
    <w:qFormat/>
    <w:uiPriority w:val="99"/>
    <w:rPr>
      <w:sz w:val="18"/>
      <w:szCs w:val="18"/>
    </w:rPr>
  </w:style>
  <w:style w:type="character" w:customStyle="1" w:styleId="15">
    <w:name w:val="页眉 Char"/>
    <w:basedOn w:val="8"/>
    <w:link w:val="7"/>
    <w:qFormat/>
    <w:uiPriority w:val="99"/>
    <w:rPr>
      <w:sz w:val="18"/>
      <w:szCs w:val="18"/>
    </w:rPr>
  </w:style>
  <w:style w:type="paragraph" w:customStyle="1" w:styleId="16">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7">
    <w:name w:val="List Paragraph"/>
    <w:basedOn w:val="1"/>
    <w:qFormat/>
    <w:uiPriority w:val="34"/>
    <w:pPr>
      <w:ind w:firstLine="420" w:firstLineChars="200"/>
    </w:pPr>
  </w:style>
  <w:style w:type="paragraph" w:styleId="18">
    <w:name w:val="No Spacing"/>
    <w:link w:val="19"/>
    <w:qFormat/>
    <w:uiPriority w:val="1"/>
    <w:rPr>
      <w:rFonts w:ascii="Calibri" w:hAnsi="Calibri" w:eastAsia="宋体" w:cs="Times New Roman"/>
      <w:sz w:val="22"/>
      <w:szCs w:val="22"/>
      <w:lang w:val="en-US" w:eastAsia="zh-CN" w:bidi="ar-SA"/>
    </w:rPr>
  </w:style>
  <w:style w:type="character" w:customStyle="1" w:styleId="19">
    <w:name w:val="无间隔 Char"/>
    <w:basedOn w:val="8"/>
    <w:link w:val="18"/>
    <w:qFormat/>
    <w:uiPriority w:val="1"/>
    <w:rPr>
      <w:kern w:val="0"/>
      <w:sz w:val="22"/>
    </w:rPr>
  </w:style>
  <w:style w:type="paragraph" w:customStyle="1" w:styleId="20">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dell</Company>
  <Pages>10</Pages>
  <Words>1703</Words>
  <Characters>9713</Characters>
  <Lines>80</Lines>
  <Paragraphs>22</Paragraphs>
  <TotalTime>23</TotalTime>
  <ScaleCrop>false</ScaleCrop>
  <LinksUpToDate>false</LinksUpToDate>
  <CharactersWithSpaces>11394</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2022-12-05T23:03:00Z</dcterms:created>
  <dc:creator>刘菁</dc:creator>
  <cp:lastModifiedBy>admin</cp:lastModifiedBy>
  <cp:lastPrinted>2026-08-27T11:05:00Z</cp:lastPrinted>
  <dcterms:modified xsi:type="dcterms:W3CDTF">2026-09-07T03:27:19Z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y fmtid="{D5CDD505-2E9C-101B-9397-08002B2CF9AE}" pid="3" name="ICV">
    <vt:lpwstr>0C67819F9D0731B87BBA82696EA47456_43</vt:lpwstr>
  </property>
</Properties>
</file>